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34" w:rsidRPr="00E23C34" w:rsidRDefault="00E23C34" w:rsidP="00E23C34">
      <w:pPr>
        <w:spacing w:before="100" w:beforeAutospacing="1" w:after="100" w:afterAutospacing="1" w:line="240" w:lineRule="auto"/>
        <w:ind w:left="300"/>
        <w:outlineLvl w:val="0"/>
        <w:rPr>
          <w:rFonts w:ascii="Times New Roman" w:eastAsia="Times New Roman" w:hAnsi="Times New Roman" w:cs="Times New Roman"/>
          <w:b/>
          <w:bCs/>
          <w:kern w:val="36"/>
          <w:sz w:val="28"/>
          <w:szCs w:val="28"/>
          <w:lang w:eastAsia="ru-RU"/>
        </w:rPr>
      </w:pPr>
      <w:r w:rsidRPr="00E23C34">
        <w:rPr>
          <w:rFonts w:ascii="Times New Roman" w:eastAsia="Times New Roman" w:hAnsi="Times New Roman" w:cs="Times New Roman"/>
          <w:b/>
          <w:bCs/>
          <w:kern w:val="36"/>
          <w:sz w:val="28"/>
          <w:szCs w:val="28"/>
          <w:lang w:eastAsia="ru-RU"/>
        </w:rPr>
        <w:t xml:space="preserve">О проекте документа, регламентирующего право возмещения за счёт средств ФСС расходов на </w:t>
      </w:r>
      <w:proofErr w:type="gramStart"/>
      <w:r w:rsidRPr="00E23C34">
        <w:rPr>
          <w:rFonts w:ascii="Times New Roman" w:eastAsia="Times New Roman" w:hAnsi="Times New Roman" w:cs="Times New Roman"/>
          <w:b/>
          <w:bCs/>
          <w:kern w:val="36"/>
          <w:sz w:val="28"/>
          <w:szCs w:val="28"/>
          <w:lang w:eastAsia="ru-RU"/>
        </w:rPr>
        <w:t>обучение по вопросам</w:t>
      </w:r>
      <w:proofErr w:type="gramEnd"/>
      <w:r w:rsidRPr="00E23C34">
        <w:rPr>
          <w:rFonts w:ascii="Times New Roman" w:eastAsia="Times New Roman" w:hAnsi="Times New Roman" w:cs="Times New Roman"/>
          <w:b/>
          <w:bCs/>
          <w:kern w:val="36"/>
          <w:sz w:val="28"/>
          <w:szCs w:val="28"/>
          <w:lang w:eastAsia="ru-RU"/>
        </w:rPr>
        <w:t xml:space="preserve"> безопасного ведения работ</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 xml:space="preserve">Изменения будут внесены в </w:t>
      </w:r>
      <w:hyperlink r:id="rId4" w:tgtFrame="_blank" w:history="1">
        <w:r w:rsidRPr="00E23C34">
          <w:rPr>
            <w:rFonts w:ascii="Times New Roman" w:eastAsia="Times New Roman" w:hAnsi="Times New Roman" w:cs="Times New Roman"/>
            <w:color w:val="0000FF"/>
            <w:sz w:val="24"/>
            <w:szCs w:val="24"/>
            <w:u w:val="single"/>
            <w:lang w:eastAsia="ru-RU"/>
          </w:rPr>
          <w:t>Правила финансового обеспечения предупредительных мер по сокращению производственного травматизма и профзаболеваний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Минтруда России от 10.12.2012 N 580н</w:t>
        </w:r>
      </w:hyperlink>
      <w:r w:rsidRPr="00E23C34">
        <w:rPr>
          <w:rFonts w:ascii="Times New Roman" w:eastAsia="Times New Roman" w:hAnsi="Times New Roman" w:cs="Times New Roman"/>
          <w:sz w:val="24"/>
          <w:szCs w:val="24"/>
          <w:lang w:eastAsia="ru-RU"/>
        </w:rPr>
        <w:t>.</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Напомним, по действующим Правилам возмещению затрат за счёт средств ФСС подлежит обучение только в области охраны труда.</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И то лишь некоторых категорий работников:</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руководителей организаций малого предпринимательства;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руководителей (в том числе руководителей структурных подразделений) государственных (муниципальных) учреждений;</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руководителей и специалистов служб охраны труда организаций; членов комитетов (комиссий) по охране труда;</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уполномоченных (доверенных) лиц по охране труда профессиональных союзов и иных уполномоченных работниками представительных органов;</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 xml:space="preserve">работников организаций, отнесенных в соответствии с действующим законодательством к опасным производственным объектам (в случае, если </w:t>
      </w:r>
      <w:proofErr w:type="gramStart"/>
      <w:r w:rsidRPr="00E23C34">
        <w:rPr>
          <w:rFonts w:ascii="Times New Roman" w:eastAsia="Times New Roman" w:hAnsi="Times New Roman" w:cs="Times New Roman"/>
          <w:sz w:val="24"/>
          <w:szCs w:val="24"/>
          <w:lang w:eastAsia="ru-RU"/>
        </w:rPr>
        <w:t>обучение по вопросам</w:t>
      </w:r>
      <w:proofErr w:type="gramEnd"/>
      <w:r w:rsidRPr="00E23C34">
        <w:rPr>
          <w:rFonts w:ascii="Times New Roman" w:eastAsia="Times New Roman" w:hAnsi="Times New Roman" w:cs="Times New Roman"/>
          <w:sz w:val="24"/>
          <w:szCs w:val="24"/>
          <w:lang w:eastAsia="ru-RU"/>
        </w:rPr>
        <w:t xml:space="preserve"> безопасного ведения работ, в том числе горных работ, и действиям в случае аварии или инцидента на опасном производственном объекте проводится с отрывом от производства в организации, осуществляющей образовательную деятельность).</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Для подготовки пакета документов, предоставляемого в ФСС, по новой статье расходов теперь потребуются также:</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 копия свидетельства о регистрации опасного производственного объекта (ОПО) в государственном реестре ОПО;</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 копия лицензии на осуществление образовательной деятельности организации, в которой работники проходили обучение.</w:t>
      </w:r>
    </w:p>
    <w:p w:rsidR="00E23C34" w:rsidRPr="00E23C34" w:rsidRDefault="00E23C34" w:rsidP="00E23C3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3C34">
        <w:rPr>
          <w:rFonts w:ascii="Times New Roman" w:eastAsia="Times New Roman" w:hAnsi="Times New Roman" w:cs="Times New Roman"/>
          <w:sz w:val="24"/>
          <w:szCs w:val="24"/>
          <w:lang w:eastAsia="ru-RU"/>
        </w:rPr>
        <w:t xml:space="preserve">Текст </w:t>
      </w:r>
      <w:proofErr w:type="gramStart"/>
      <w:r w:rsidRPr="00E23C34">
        <w:rPr>
          <w:rFonts w:ascii="Times New Roman" w:eastAsia="Times New Roman" w:hAnsi="Times New Roman" w:cs="Times New Roman"/>
          <w:sz w:val="24"/>
          <w:szCs w:val="24"/>
          <w:lang w:eastAsia="ru-RU"/>
        </w:rPr>
        <w:t>поправок</w:t>
      </w:r>
      <w:proofErr w:type="gramEnd"/>
      <w:r w:rsidRPr="00E23C34">
        <w:rPr>
          <w:rFonts w:ascii="Times New Roman" w:eastAsia="Times New Roman" w:hAnsi="Times New Roman" w:cs="Times New Roman"/>
          <w:sz w:val="24"/>
          <w:szCs w:val="24"/>
          <w:lang w:eastAsia="ru-RU"/>
        </w:rPr>
        <w:t xml:space="preserve"> в том числе содержит и корректировки по возмещению расходов на приобретение средств индивидуальной защиты. Добавлено, что работодатель должен будет дополнительно представить копию заключения о подтверждении производства промышленной продукции на территории РФ, выданного </w:t>
      </w:r>
      <w:proofErr w:type="spellStart"/>
      <w:r w:rsidRPr="00E23C34">
        <w:rPr>
          <w:rFonts w:ascii="Times New Roman" w:eastAsia="Times New Roman" w:hAnsi="Times New Roman" w:cs="Times New Roman"/>
          <w:sz w:val="24"/>
          <w:szCs w:val="24"/>
          <w:lang w:eastAsia="ru-RU"/>
        </w:rPr>
        <w:t>Минпромторгом</w:t>
      </w:r>
      <w:proofErr w:type="spellEnd"/>
      <w:r w:rsidRPr="00E23C34">
        <w:rPr>
          <w:rFonts w:ascii="Times New Roman" w:eastAsia="Times New Roman" w:hAnsi="Times New Roman" w:cs="Times New Roman"/>
          <w:sz w:val="24"/>
          <w:szCs w:val="24"/>
          <w:lang w:eastAsia="ru-RU"/>
        </w:rPr>
        <w:t xml:space="preserve"> России.</w:t>
      </w:r>
    </w:p>
    <w:p w:rsidR="003257F8" w:rsidRDefault="003257F8" w:rsidP="003257F8">
      <w:pPr>
        <w:pStyle w:val="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Возмещение затрат на мероприятия по охране труда из ФСС</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 xml:space="preserve">ФСС может возместить часть расходов на мероприятия по охране труда в рамках программы </w:t>
      </w:r>
      <w:proofErr w:type="spellStart"/>
      <w:r>
        <w:rPr>
          <w:rFonts w:ascii="Arial" w:hAnsi="Arial" w:cs="Arial"/>
          <w:color w:val="2D2D2D"/>
          <w:spacing w:val="2"/>
          <w:sz w:val="21"/>
          <w:szCs w:val="21"/>
        </w:rPr>
        <w:t>софинансирования</w:t>
      </w:r>
      <w:proofErr w:type="spellEnd"/>
      <w:r>
        <w:rPr>
          <w:rFonts w:ascii="Arial" w:hAnsi="Arial" w:cs="Arial"/>
          <w:color w:val="2D2D2D"/>
          <w:spacing w:val="2"/>
          <w:sz w:val="21"/>
          <w:szCs w:val="21"/>
        </w:rPr>
        <w:t xml:space="preserve"> предупредительных мер по сокращению травматизма и профзаболеваний. </w:t>
      </w:r>
      <w:r>
        <w:rPr>
          <w:rFonts w:ascii="Arial" w:hAnsi="Arial" w:cs="Arial"/>
          <w:color w:val="2D2D2D"/>
          <w:spacing w:val="2"/>
          <w:sz w:val="21"/>
          <w:szCs w:val="21"/>
        </w:rPr>
        <w:br/>
      </w:r>
      <w:r>
        <w:rPr>
          <w:rFonts w:ascii="Arial" w:hAnsi="Arial" w:cs="Arial"/>
          <w:color w:val="2D2D2D"/>
          <w:spacing w:val="2"/>
          <w:sz w:val="21"/>
          <w:szCs w:val="21"/>
        </w:rPr>
        <w:br/>
        <w:t>Для получения возмещения организациям - страхователям необходимо руководствоваться </w:t>
      </w:r>
      <w:hyperlink r:id="rId5" w:history="1">
        <w:r>
          <w:rPr>
            <w:rStyle w:val="a3"/>
            <w:rFonts w:ascii="Arial" w:hAnsi="Arial" w:cs="Arial"/>
            <w:color w:val="00466E"/>
            <w:spacing w:val="2"/>
            <w:sz w:val="21"/>
            <w:szCs w:val="21"/>
          </w:rPr>
          <w:t>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r>
        <w:rPr>
          <w:rFonts w:ascii="Arial" w:hAnsi="Arial" w:cs="Arial"/>
          <w:color w:val="2D2D2D"/>
          <w:spacing w:val="2"/>
          <w:sz w:val="21"/>
          <w:szCs w:val="21"/>
        </w:rPr>
        <w:t> (</w:t>
      </w:r>
      <w:hyperlink r:id="rId6" w:history="1">
        <w:r>
          <w:rPr>
            <w:rStyle w:val="a3"/>
            <w:rFonts w:ascii="Arial" w:hAnsi="Arial" w:cs="Arial"/>
            <w:color w:val="00466E"/>
            <w:spacing w:val="2"/>
            <w:sz w:val="21"/>
            <w:szCs w:val="21"/>
          </w:rPr>
          <w:t>Приложение</w:t>
        </w:r>
      </w:hyperlink>
      <w:r>
        <w:rPr>
          <w:rFonts w:ascii="Arial" w:hAnsi="Arial" w:cs="Arial"/>
          <w:color w:val="2D2D2D"/>
          <w:spacing w:val="2"/>
          <w:sz w:val="21"/>
          <w:szCs w:val="21"/>
        </w:rPr>
        <w:t> к приказу </w:t>
      </w:r>
      <w:hyperlink r:id="rId7" w:history="1">
        <w:r>
          <w:rPr>
            <w:rStyle w:val="a3"/>
            <w:rFonts w:ascii="Arial" w:hAnsi="Arial" w:cs="Arial"/>
            <w:color w:val="00466E"/>
            <w:spacing w:val="2"/>
            <w:sz w:val="21"/>
            <w:szCs w:val="21"/>
          </w:rPr>
          <w:t>Министерства труда и социальной защиты Российской Федерации от 10.12.2012 N 580н</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Разъяснения ФСС как применять </w:t>
      </w:r>
      <w:hyperlink r:id="rId8" w:history="1">
        <w:r>
          <w:rPr>
            <w:rStyle w:val="a3"/>
            <w:rFonts w:ascii="Arial" w:hAnsi="Arial" w:cs="Arial"/>
            <w:color w:val="00466E"/>
            <w:spacing w:val="2"/>
            <w:sz w:val="21"/>
            <w:szCs w:val="21"/>
          </w:rPr>
          <w:t>Правила</w:t>
        </w:r>
      </w:hyperlink>
      <w:r>
        <w:rPr>
          <w:rFonts w:ascii="Arial" w:hAnsi="Arial" w:cs="Arial"/>
          <w:color w:val="2D2D2D"/>
          <w:spacing w:val="2"/>
          <w:sz w:val="21"/>
          <w:szCs w:val="21"/>
        </w:rPr>
        <w:t> </w:t>
      </w:r>
      <w:r>
        <w:rPr>
          <w:rFonts w:ascii="Arial" w:hAnsi="Arial" w:cs="Arial"/>
          <w:b/>
          <w:bCs/>
          <w:color w:val="2D2D2D"/>
          <w:spacing w:val="2"/>
          <w:sz w:val="21"/>
          <w:szCs w:val="21"/>
        </w:rPr>
        <w:t>в 2018 году</w:t>
      </w:r>
      <w:r>
        <w:rPr>
          <w:rFonts w:ascii="Arial" w:hAnsi="Arial" w:cs="Arial"/>
          <w:color w:val="2D2D2D"/>
          <w:spacing w:val="2"/>
          <w:sz w:val="21"/>
          <w:szCs w:val="21"/>
        </w:rPr>
        <w:t> даны в </w:t>
      </w:r>
      <w:hyperlink r:id="rId9" w:history="1">
        <w:r>
          <w:rPr>
            <w:rStyle w:val="a3"/>
            <w:rFonts w:ascii="Arial" w:hAnsi="Arial" w:cs="Arial"/>
            <w:color w:val="00466E"/>
            <w:spacing w:val="2"/>
            <w:sz w:val="21"/>
            <w:szCs w:val="21"/>
          </w:rPr>
          <w:t>письме ФСС России от 14.03.2018 N 02-09-11/14-05-5136</w:t>
        </w:r>
      </w:hyperlink>
      <w:r>
        <w:rPr>
          <w:rFonts w:ascii="Arial" w:hAnsi="Arial" w:cs="Arial"/>
          <w:color w:val="2D2D2D"/>
          <w:spacing w:val="2"/>
          <w:sz w:val="21"/>
          <w:szCs w:val="21"/>
        </w:rPr>
        <w:t>.</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hyperlink r:id="rId10" w:history="1">
        <w:r>
          <w:rPr>
            <w:rStyle w:val="a3"/>
            <w:rFonts w:ascii="Arial" w:hAnsi="Arial" w:cs="Arial"/>
            <w:color w:val="00466E"/>
            <w:spacing w:val="2"/>
            <w:sz w:val="21"/>
            <w:szCs w:val="21"/>
          </w:rPr>
          <w:t>Административный регламент предоставления Фондом социального страхования РФ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r>
        <w:rPr>
          <w:rFonts w:ascii="Arial" w:hAnsi="Arial" w:cs="Arial"/>
          <w:color w:val="2D2D2D"/>
          <w:spacing w:val="2"/>
          <w:sz w:val="21"/>
          <w:szCs w:val="21"/>
        </w:rPr>
        <w:t>, утвержден </w:t>
      </w:r>
      <w:hyperlink r:id="rId11" w:history="1">
        <w:r>
          <w:rPr>
            <w:rStyle w:val="a3"/>
            <w:rFonts w:ascii="Arial" w:hAnsi="Arial" w:cs="Arial"/>
            <w:color w:val="00466E"/>
            <w:spacing w:val="2"/>
            <w:sz w:val="21"/>
            <w:szCs w:val="21"/>
          </w:rPr>
          <w:t>приказом Минтруда России от 02.09.2014 N 598н</w:t>
        </w:r>
      </w:hyperlink>
      <w:r>
        <w:rPr>
          <w:rFonts w:ascii="Arial" w:hAnsi="Arial" w:cs="Arial"/>
          <w:color w:val="2D2D2D"/>
          <w:spacing w:val="2"/>
          <w:sz w:val="21"/>
          <w:szCs w:val="21"/>
        </w:rPr>
        <w:t>.</w:t>
      </w:r>
      <w:r>
        <w:rPr>
          <w:rFonts w:ascii="Arial" w:hAnsi="Arial" w:cs="Arial"/>
          <w:color w:val="2D2D2D"/>
          <w:spacing w:val="2"/>
          <w:sz w:val="21"/>
          <w:szCs w:val="21"/>
        </w:rPr>
        <w:br/>
      </w:r>
    </w:p>
    <w:p w:rsidR="003257F8" w:rsidRDefault="003257F8" w:rsidP="003257F8">
      <w:pPr>
        <w:pStyle w:val="2"/>
        <w:shd w:val="clear" w:color="auto" w:fill="FFFFFF"/>
        <w:spacing w:before="375" w:after="225"/>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Размер возмещения (</w:t>
      </w:r>
      <w:proofErr w:type="spellStart"/>
      <w:r>
        <w:rPr>
          <w:rFonts w:ascii="Arial" w:hAnsi="Arial" w:cs="Arial"/>
          <w:b w:val="0"/>
          <w:bCs w:val="0"/>
          <w:color w:val="3C3C3C"/>
          <w:spacing w:val="2"/>
          <w:sz w:val="31"/>
          <w:szCs w:val="31"/>
        </w:rPr>
        <w:t>софинансирования</w:t>
      </w:r>
      <w:proofErr w:type="spellEnd"/>
      <w:r>
        <w:rPr>
          <w:rFonts w:ascii="Arial" w:hAnsi="Arial" w:cs="Arial"/>
          <w:b w:val="0"/>
          <w:bCs w:val="0"/>
          <w:color w:val="3C3C3C"/>
          <w:spacing w:val="2"/>
          <w:sz w:val="31"/>
          <w:szCs w:val="31"/>
        </w:rPr>
        <w:t>) мероприятий по охране труда</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соответствии с </w:t>
      </w:r>
      <w:hyperlink r:id="rId12" w:history="1">
        <w:r>
          <w:rPr>
            <w:rStyle w:val="a3"/>
            <w:rFonts w:ascii="Arial" w:hAnsi="Arial" w:cs="Arial"/>
            <w:color w:val="00466E"/>
            <w:spacing w:val="2"/>
            <w:sz w:val="21"/>
            <w:szCs w:val="21"/>
          </w:rPr>
          <w:t>п.2 Правил</w:t>
        </w:r>
      </w:hyperlink>
      <w:r>
        <w:rPr>
          <w:rFonts w:ascii="Arial" w:hAnsi="Arial" w:cs="Arial"/>
          <w:color w:val="2D2D2D"/>
          <w:spacing w:val="2"/>
          <w:sz w:val="21"/>
          <w:szCs w:val="21"/>
        </w:rPr>
        <w:t>, максимальный объем средств, по которым страхователь может подать заявление в ФСС на возмещение (</w:t>
      </w:r>
      <w:proofErr w:type="spellStart"/>
      <w:r>
        <w:rPr>
          <w:rFonts w:ascii="Arial" w:hAnsi="Arial" w:cs="Arial"/>
          <w:color w:val="2D2D2D"/>
          <w:spacing w:val="2"/>
          <w:sz w:val="21"/>
          <w:szCs w:val="21"/>
        </w:rPr>
        <w:t>софинансирование</w:t>
      </w:r>
      <w:proofErr w:type="spellEnd"/>
      <w:r>
        <w:rPr>
          <w:rFonts w:ascii="Arial" w:hAnsi="Arial" w:cs="Arial"/>
          <w:color w:val="2D2D2D"/>
          <w:spacing w:val="2"/>
          <w:sz w:val="21"/>
          <w:szCs w:val="21"/>
        </w:rPr>
        <w:t>) рассчитывается по формуле: </w:t>
      </w:r>
      <w:r>
        <w:rPr>
          <w:rFonts w:ascii="Arial" w:hAnsi="Arial" w:cs="Arial"/>
          <w:color w:val="2D2D2D"/>
          <w:spacing w:val="2"/>
          <w:sz w:val="21"/>
          <w:szCs w:val="21"/>
        </w:rPr>
        <w:br/>
      </w:r>
    </w:p>
    <w:p w:rsidR="003257F8" w:rsidRDefault="003257F8" w:rsidP="003257F8">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noProof/>
          <w:color w:val="00466E"/>
          <w:spacing w:val="2"/>
          <w:sz w:val="21"/>
          <w:szCs w:val="21"/>
        </w:rPr>
        <w:drawing>
          <wp:inline distT="0" distB="0" distL="0" distR="0">
            <wp:extent cx="6191250" cy="1724025"/>
            <wp:effectExtent l="19050" t="0" r="0" b="0"/>
            <wp:docPr id="1" name="Рисунок 1" descr="Возмещение затрат на мероприятия по охране труда из ФСС">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змещение затрат на мероприятия по охране труда из ФСС">
                      <a:hlinkClick r:id="rId13"/>
                    </pic:cNvPr>
                    <pic:cNvPicPr>
                      <a:picLocks noChangeAspect="1" noChangeArrowheads="1"/>
                    </pic:cNvPicPr>
                  </pic:nvPicPr>
                  <pic:blipFill>
                    <a:blip r:embed="rId14"/>
                    <a:srcRect/>
                    <a:stretch>
                      <a:fillRect/>
                    </a:stretch>
                  </pic:blipFill>
                  <pic:spPr bwMode="auto">
                    <a:xfrm>
                      <a:off x="0" y="0"/>
                      <a:ext cx="6191250" cy="1724025"/>
                    </a:xfrm>
                    <a:prstGeom prst="rect">
                      <a:avLst/>
                    </a:prstGeom>
                    <a:noFill/>
                    <a:ln w="9525">
                      <a:noFill/>
                      <a:miter lim="800000"/>
                      <a:headEnd/>
                      <a:tailEnd/>
                    </a:ln>
                  </pic:spPr>
                </pic:pic>
              </a:graphicData>
            </a:graphic>
          </wp:inline>
        </w:drawing>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r>
        <w:rPr>
          <w:rFonts w:ascii="Arial" w:hAnsi="Arial" w:cs="Arial"/>
          <w:color w:val="2D2D2D"/>
          <w:spacing w:val="2"/>
          <w:sz w:val="21"/>
          <w:szCs w:val="21"/>
        </w:rPr>
        <w:br/>
        <w:t>Предельная величина, которую разрешено направить на финансирование мер по сокращению производственного травматизма составляет 20 процентов от величины взносов «на травматизм» за предшествующий календарный год за вычетом расходов на выплату обеспечения за тот же год.</w:t>
      </w:r>
      <w:r>
        <w:rPr>
          <w:rFonts w:ascii="Arial" w:hAnsi="Arial" w:cs="Arial"/>
          <w:color w:val="2D2D2D"/>
          <w:spacing w:val="2"/>
          <w:sz w:val="21"/>
          <w:szCs w:val="21"/>
        </w:rPr>
        <w:br/>
      </w:r>
    </w:p>
    <w:tbl>
      <w:tblPr>
        <w:tblW w:w="0" w:type="auto"/>
        <w:tblCellMar>
          <w:left w:w="0" w:type="dxa"/>
          <w:right w:w="0" w:type="dxa"/>
        </w:tblCellMar>
        <w:tblLook w:val="04A0"/>
      </w:tblPr>
      <w:tblGrid>
        <w:gridCol w:w="178"/>
        <w:gridCol w:w="1459"/>
        <w:gridCol w:w="7540"/>
        <w:gridCol w:w="178"/>
      </w:tblGrid>
      <w:tr w:rsidR="003257F8" w:rsidTr="003257F8">
        <w:trPr>
          <w:trHeight w:val="15"/>
        </w:trPr>
        <w:tc>
          <w:tcPr>
            <w:tcW w:w="185" w:type="dxa"/>
            <w:hideMark/>
          </w:tcPr>
          <w:p w:rsidR="003257F8" w:rsidRDefault="003257F8">
            <w:pPr>
              <w:rPr>
                <w:sz w:val="2"/>
                <w:szCs w:val="24"/>
              </w:rPr>
            </w:pPr>
          </w:p>
        </w:tc>
        <w:tc>
          <w:tcPr>
            <w:tcW w:w="1478" w:type="dxa"/>
            <w:hideMark/>
          </w:tcPr>
          <w:p w:rsidR="003257F8" w:rsidRDefault="003257F8">
            <w:pPr>
              <w:rPr>
                <w:sz w:val="2"/>
                <w:szCs w:val="24"/>
              </w:rPr>
            </w:pPr>
          </w:p>
        </w:tc>
        <w:tc>
          <w:tcPr>
            <w:tcW w:w="7762" w:type="dxa"/>
            <w:hideMark/>
          </w:tcPr>
          <w:p w:rsidR="003257F8" w:rsidRDefault="003257F8">
            <w:pPr>
              <w:rPr>
                <w:sz w:val="2"/>
                <w:szCs w:val="24"/>
              </w:rPr>
            </w:pPr>
          </w:p>
        </w:tc>
        <w:tc>
          <w:tcPr>
            <w:tcW w:w="185" w:type="dxa"/>
            <w:hideMark/>
          </w:tcPr>
          <w:p w:rsidR="003257F8" w:rsidRDefault="003257F8">
            <w:pPr>
              <w:rPr>
                <w:sz w:val="2"/>
                <w:szCs w:val="24"/>
              </w:rPr>
            </w:pPr>
          </w:p>
        </w:tc>
      </w:tr>
      <w:tr w:rsidR="003257F8" w:rsidTr="003257F8">
        <w:tc>
          <w:tcPr>
            <w:tcW w:w="185" w:type="dxa"/>
            <w:hideMark/>
          </w:tcPr>
          <w:p w:rsidR="003257F8" w:rsidRDefault="003257F8">
            <w:pPr>
              <w:rPr>
                <w:sz w:val="24"/>
                <w:szCs w:val="24"/>
              </w:rPr>
            </w:pPr>
          </w:p>
        </w:tc>
        <w:tc>
          <w:tcPr>
            <w:tcW w:w="1478" w:type="dxa"/>
            <w:tcBorders>
              <w:top w:val="nil"/>
              <w:left w:val="nil"/>
              <w:bottom w:val="nil"/>
              <w:right w:val="nil"/>
            </w:tcBorders>
            <w:tcMar>
              <w:top w:w="0" w:type="dxa"/>
              <w:left w:w="36" w:type="dxa"/>
              <w:bottom w:w="0" w:type="dxa"/>
              <w:right w:w="36" w:type="dxa"/>
            </w:tcMar>
            <w:hideMark/>
          </w:tcPr>
          <w:p w:rsidR="003257F8" w:rsidRDefault="003257F8">
            <w:pPr>
              <w:pStyle w:val="formattext"/>
              <w:spacing w:before="0" w:beforeAutospacing="0" w:after="0" w:afterAutospacing="0" w:line="315" w:lineRule="atLeast"/>
              <w:jc w:val="center"/>
              <w:textAlignment w:val="baseline"/>
              <w:rPr>
                <w:color w:val="2D2D2D"/>
                <w:sz w:val="21"/>
                <w:szCs w:val="21"/>
              </w:rPr>
            </w:pPr>
            <w:r>
              <w:rPr>
                <w:noProof/>
                <w:color w:val="2D2D2D"/>
                <w:sz w:val="21"/>
                <w:szCs w:val="21"/>
              </w:rPr>
              <w:drawing>
                <wp:inline distT="0" distB="0" distL="0" distR="0">
                  <wp:extent cx="552450" cy="400050"/>
                  <wp:effectExtent l="19050" t="0" r="0" b="0"/>
                  <wp:docPr id="2" name="Рисунок 2" descr="Возмещение затрат на мероприятия по охране труда из Ф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змещение затрат на мероприятия по охране труда из ФСС"/>
                          <pic:cNvPicPr>
                            <a:picLocks noChangeAspect="1" noChangeArrowheads="1"/>
                          </pic:cNvPicPr>
                        </pic:nvPicPr>
                        <pic:blipFill>
                          <a:blip r:embed="rId15"/>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7762" w:type="dxa"/>
            <w:tcBorders>
              <w:top w:val="nil"/>
              <w:left w:val="nil"/>
              <w:bottom w:val="nil"/>
              <w:right w:val="nil"/>
            </w:tcBorders>
            <w:tcMar>
              <w:top w:w="0" w:type="dxa"/>
              <w:left w:w="36" w:type="dxa"/>
              <w:bottom w:w="0" w:type="dxa"/>
              <w:right w:w="36" w:type="dxa"/>
            </w:tcMar>
            <w:hideMark/>
          </w:tcPr>
          <w:p w:rsidR="003257F8" w:rsidRDefault="003257F8">
            <w:pPr>
              <w:pStyle w:val="formattext"/>
              <w:spacing w:before="0" w:beforeAutospacing="0" w:after="0" w:afterAutospacing="0" w:line="315" w:lineRule="atLeast"/>
              <w:textAlignment w:val="baseline"/>
              <w:rPr>
                <w:color w:val="2D2D2D"/>
                <w:sz w:val="21"/>
                <w:szCs w:val="21"/>
              </w:rPr>
            </w:pPr>
            <w:r>
              <w:rPr>
                <w:i/>
                <w:iCs/>
                <w:color w:val="2D2D2D"/>
                <w:sz w:val="21"/>
                <w:szCs w:val="21"/>
              </w:rPr>
              <w:t>Пример:</w:t>
            </w:r>
            <w:r>
              <w:rPr>
                <w:i/>
                <w:iCs/>
                <w:color w:val="2D2D2D"/>
                <w:sz w:val="21"/>
                <w:szCs w:val="21"/>
              </w:rPr>
              <w:br/>
            </w:r>
            <w:proofErr w:type="gramStart"/>
            <w:r>
              <w:rPr>
                <w:i/>
                <w:iCs/>
                <w:color w:val="2D2D2D"/>
                <w:sz w:val="21"/>
                <w:szCs w:val="21"/>
              </w:rPr>
              <w:t>Организация "Астра" за 2015 г. начислила и уплатила в бюджет ФСС РФ взносы на страхование от несчастных случаев на производстве и профзаболеваний в размере 144 200 руб. При этом работнику Мишину И.В. было выплачено пособие по временной нетрудоспособности в связи с несчастным случаем на производстве в размере 18 300 руб. Следовательно, в 2016 г. у ООО "Астра" может претендовать</w:t>
            </w:r>
            <w:proofErr w:type="gramEnd"/>
            <w:r>
              <w:rPr>
                <w:i/>
                <w:iCs/>
                <w:color w:val="2D2D2D"/>
                <w:sz w:val="21"/>
                <w:szCs w:val="21"/>
              </w:rPr>
              <w:t xml:space="preserve"> на возмещение своих затрат на мероприятия по охране труда в размере не более 25 180 руб. ((144 200 руб. - 18 300 руб.) </w:t>
            </w:r>
            <w:proofErr w:type="spellStart"/>
            <w:r>
              <w:rPr>
                <w:i/>
                <w:iCs/>
                <w:color w:val="2D2D2D"/>
                <w:sz w:val="21"/>
                <w:szCs w:val="21"/>
              </w:rPr>
              <w:t>x</w:t>
            </w:r>
            <w:proofErr w:type="spellEnd"/>
            <w:r>
              <w:rPr>
                <w:i/>
                <w:iCs/>
                <w:color w:val="2D2D2D"/>
                <w:sz w:val="21"/>
                <w:szCs w:val="21"/>
              </w:rPr>
              <w:t xml:space="preserve"> 20%).</w:t>
            </w:r>
          </w:p>
        </w:tc>
        <w:tc>
          <w:tcPr>
            <w:tcW w:w="185" w:type="dxa"/>
            <w:hideMark/>
          </w:tcPr>
          <w:p w:rsidR="003257F8" w:rsidRDefault="003257F8">
            <w:pPr>
              <w:rPr>
                <w:sz w:val="24"/>
                <w:szCs w:val="24"/>
              </w:rPr>
            </w:pPr>
          </w:p>
        </w:tc>
      </w:tr>
    </w:tbl>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Для организаций, у которых численность работников </w:t>
      </w:r>
      <w:r>
        <w:rPr>
          <w:rFonts w:ascii="Arial" w:hAnsi="Arial" w:cs="Arial"/>
          <w:b/>
          <w:bCs/>
          <w:color w:val="2D2D2D"/>
          <w:spacing w:val="2"/>
          <w:sz w:val="21"/>
          <w:szCs w:val="21"/>
        </w:rPr>
        <w:t>не</w:t>
      </w:r>
      <w:r>
        <w:rPr>
          <w:rFonts w:ascii="Arial" w:hAnsi="Arial" w:cs="Arial"/>
          <w:color w:val="2D2D2D"/>
          <w:spacing w:val="2"/>
          <w:sz w:val="21"/>
          <w:szCs w:val="21"/>
        </w:rPr>
        <w:t> </w:t>
      </w:r>
      <w:r>
        <w:rPr>
          <w:rFonts w:ascii="Arial" w:hAnsi="Arial" w:cs="Arial"/>
          <w:b/>
          <w:bCs/>
          <w:color w:val="2D2D2D"/>
          <w:spacing w:val="2"/>
          <w:sz w:val="21"/>
          <w:szCs w:val="21"/>
        </w:rPr>
        <w:t>более 100 человек</w:t>
      </w:r>
      <w:r>
        <w:rPr>
          <w:rFonts w:ascii="Arial" w:hAnsi="Arial" w:cs="Arial"/>
          <w:color w:val="2D2D2D"/>
          <w:spacing w:val="2"/>
          <w:sz w:val="21"/>
          <w:szCs w:val="21"/>
        </w:rPr>
        <w:t>, и кто в течение двух последовательных лет, предшествующих текущему году, не проводил мероприятий за счет ФСС, предусмотрена возможность использовать </w:t>
      </w:r>
      <w:r>
        <w:rPr>
          <w:rFonts w:ascii="Arial" w:hAnsi="Arial" w:cs="Arial"/>
          <w:b/>
          <w:bCs/>
          <w:color w:val="2D2D2D"/>
          <w:spacing w:val="2"/>
          <w:sz w:val="21"/>
          <w:szCs w:val="21"/>
        </w:rPr>
        <w:t>20 процентов</w:t>
      </w:r>
      <w:r>
        <w:rPr>
          <w:rFonts w:ascii="Arial" w:hAnsi="Arial" w:cs="Arial"/>
          <w:color w:val="2D2D2D"/>
          <w:spacing w:val="2"/>
          <w:sz w:val="21"/>
          <w:szCs w:val="21"/>
        </w:rPr>
        <w:t> от суммы взносов "на травматизм" </w:t>
      </w:r>
      <w:r>
        <w:rPr>
          <w:rFonts w:ascii="Arial" w:hAnsi="Arial" w:cs="Arial"/>
          <w:b/>
          <w:bCs/>
          <w:color w:val="2D2D2D"/>
          <w:spacing w:val="2"/>
          <w:sz w:val="21"/>
          <w:szCs w:val="21"/>
        </w:rPr>
        <w:t>за три последовательных года</w:t>
      </w:r>
      <w:r>
        <w:rPr>
          <w:rFonts w:ascii="Arial" w:hAnsi="Arial" w:cs="Arial"/>
          <w:color w:val="2D2D2D"/>
          <w:spacing w:val="2"/>
          <w:sz w:val="21"/>
          <w:szCs w:val="21"/>
        </w:rPr>
        <w:t>, предшествующих текущему году, за вычетом расходов на выплату обеспечения за тот же период, </w:t>
      </w:r>
      <w:r>
        <w:rPr>
          <w:rFonts w:ascii="Arial" w:hAnsi="Arial" w:cs="Arial"/>
          <w:b/>
          <w:bCs/>
          <w:color w:val="2D2D2D"/>
          <w:spacing w:val="2"/>
          <w:sz w:val="21"/>
          <w:szCs w:val="21"/>
        </w:rPr>
        <w:t>но не более</w:t>
      </w:r>
      <w:r>
        <w:rPr>
          <w:rFonts w:ascii="Arial" w:hAnsi="Arial" w:cs="Arial"/>
          <w:color w:val="2D2D2D"/>
          <w:spacing w:val="2"/>
          <w:sz w:val="21"/>
          <w:szCs w:val="21"/>
        </w:rPr>
        <w:t> суммы взносов "на травматизм</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подлежащей</w:t>
      </w:r>
      <w:proofErr w:type="gramEnd"/>
      <w:r>
        <w:rPr>
          <w:rFonts w:ascii="Arial" w:hAnsi="Arial" w:cs="Arial"/>
          <w:color w:val="2D2D2D"/>
          <w:spacing w:val="2"/>
          <w:sz w:val="21"/>
          <w:szCs w:val="21"/>
        </w:rPr>
        <w:t xml:space="preserve"> перечислению в текущем году.</w:t>
      </w:r>
      <w:r>
        <w:rPr>
          <w:rFonts w:ascii="Arial" w:hAnsi="Arial" w:cs="Arial"/>
          <w:color w:val="2D2D2D"/>
          <w:spacing w:val="2"/>
          <w:sz w:val="21"/>
          <w:szCs w:val="21"/>
        </w:rPr>
        <w:br/>
      </w:r>
    </w:p>
    <w:p w:rsidR="003257F8" w:rsidRDefault="003257F8" w:rsidP="003257F8">
      <w:pPr>
        <w:pStyle w:val="2"/>
        <w:shd w:val="clear" w:color="auto" w:fill="FFFFFF"/>
        <w:spacing w:before="375" w:after="225"/>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Куда и когда обращаться?</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Страхователь обращается с заявлением </w:t>
      </w:r>
      <w:r>
        <w:rPr>
          <w:rFonts w:ascii="Arial" w:hAnsi="Arial" w:cs="Arial"/>
          <w:b/>
          <w:bCs/>
          <w:color w:val="2D2D2D"/>
          <w:spacing w:val="2"/>
          <w:sz w:val="21"/>
          <w:szCs w:val="21"/>
        </w:rPr>
        <w:t>в территориальный орган Фонда по месту своей регистрации</w:t>
      </w:r>
      <w:r>
        <w:rPr>
          <w:rFonts w:ascii="Arial" w:hAnsi="Arial" w:cs="Arial"/>
          <w:color w:val="2D2D2D"/>
          <w:spacing w:val="2"/>
          <w:sz w:val="21"/>
          <w:szCs w:val="21"/>
        </w:rPr>
        <w:t>.</w:t>
      </w:r>
      <w:r>
        <w:rPr>
          <w:rFonts w:ascii="Arial" w:hAnsi="Arial" w:cs="Arial"/>
          <w:color w:val="2D2D2D"/>
          <w:spacing w:val="2"/>
          <w:sz w:val="21"/>
          <w:szCs w:val="21"/>
        </w:rPr>
        <w:br/>
        <w:t>Срок обращения - </w:t>
      </w:r>
      <w:r>
        <w:rPr>
          <w:rFonts w:ascii="Arial" w:hAnsi="Arial" w:cs="Arial"/>
          <w:b/>
          <w:bCs/>
          <w:color w:val="2D2D2D"/>
          <w:spacing w:val="2"/>
          <w:sz w:val="21"/>
          <w:szCs w:val="21"/>
        </w:rPr>
        <w:t>до 1 августа</w:t>
      </w:r>
      <w:r>
        <w:rPr>
          <w:rFonts w:ascii="Arial" w:hAnsi="Arial" w:cs="Arial"/>
          <w:color w:val="2D2D2D"/>
          <w:spacing w:val="2"/>
          <w:sz w:val="21"/>
          <w:szCs w:val="21"/>
        </w:rPr>
        <w:t> текущего календарного года.</w:t>
      </w:r>
      <w:r>
        <w:rPr>
          <w:rFonts w:ascii="Arial" w:hAnsi="Arial" w:cs="Arial"/>
          <w:color w:val="2D2D2D"/>
          <w:spacing w:val="2"/>
          <w:sz w:val="21"/>
          <w:szCs w:val="21"/>
        </w:rPr>
        <w:br/>
      </w:r>
      <w:proofErr w:type="gramStart"/>
      <w:r>
        <w:rPr>
          <w:rFonts w:ascii="Arial" w:hAnsi="Arial" w:cs="Arial"/>
          <w:color w:val="2D2D2D"/>
          <w:spacing w:val="2"/>
          <w:sz w:val="21"/>
          <w:szCs w:val="21"/>
        </w:rPr>
        <w:t>Заявление с прилагаемыми к нему документами (копиями документов) и сведениями представляется страхователем либо лицом, представляющим его интересы, на бумажном носителе либо в форме электронного документа (</w:t>
      </w:r>
      <w:hyperlink r:id="rId16" w:history="1">
        <w:r>
          <w:rPr>
            <w:rStyle w:val="a3"/>
            <w:rFonts w:ascii="Arial" w:hAnsi="Arial" w:cs="Arial"/>
            <w:color w:val="00466E"/>
            <w:spacing w:val="2"/>
            <w:sz w:val="21"/>
            <w:szCs w:val="21"/>
          </w:rPr>
          <w:t>п.4.</w:t>
        </w:r>
        <w:proofErr w:type="gramEnd"/>
        <w:r>
          <w:rPr>
            <w:rStyle w:val="a3"/>
            <w:rFonts w:ascii="Arial" w:hAnsi="Arial" w:cs="Arial"/>
            <w:color w:val="00466E"/>
            <w:spacing w:val="2"/>
            <w:sz w:val="21"/>
            <w:szCs w:val="21"/>
          </w:rPr>
          <w:t xml:space="preserve"> </w:t>
        </w:r>
        <w:proofErr w:type="gramStart"/>
        <w:r>
          <w:rPr>
            <w:rStyle w:val="a3"/>
            <w:rFonts w:ascii="Arial" w:hAnsi="Arial" w:cs="Arial"/>
            <w:color w:val="00466E"/>
            <w:spacing w:val="2"/>
            <w:sz w:val="21"/>
            <w:szCs w:val="21"/>
          </w:rPr>
          <w:t>Правил</w:t>
        </w:r>
      </w:hyperlink>
      <w:r>
        <w:rPr>
          <w:rFonts w:ascii="Arial" w:hAnsi="Arial" w:cs="Arial"/>
          <w:color w:val="2D2D2D"/>
          <w:spacing w:val="2"/>
          <w:sz w:val="21"/>
          <w:szCs w:val="21"/>
        </w:rPr>
        <w:t>).</w:t>
      </w:r>
      <w:r>
        <w:rPr>
          <w:rFonts w:ascii="Arial" w:hAnsi="Arial" w:cs="Arial"/>
          <w:color w:val="2D2D2D"/>
          <w:spacing w:val="2"/>
          <w:sz w:val="21"/>
          <w:szCs w:val="21"/>
        </w:rPr>
        <w:br/>
      </w:r>
      <w:proofErr w:type="gramEnd"/>
    </w:p>
    <w:p w:rsidR="003257F8" w:rsidRDefault="003257F8" w:rsidP="003257F8">
      <w:pPr>
        <w:pStyle w:val="2"/>
        <w:shd w:val="clear" w:color="auto" w:fill="FFFFFF"/>
        <w:spacing w:before="375" w:after="225"/>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 xml:space="preserve">По каким мероприятиям можно претендовать на </w:t>
      </w:r>
      <w:proofErr w:type="spellStart"/>
      <w:r>
        <w:rPr>
          <w:rFonts w:ascii="Arial" w:hAnsi="Arial" w:cs="Arial"/>
          <w:b w:val="0"/>
          <w:bCs w:val="0"/>
          <w:color w:val="3C3C3C"/>
          <w:spacing w:val="2"/>
          <w:sz w:val="31"/>
          <w:szCs w:val="31"/>
        </w:rPr>
        <w:t>софинансирование</w:t>
      </w:r>
      <w:proofErr w:type="spellEnd"/>
      <w:r>
        <w:rPr>
          <w:rFonts w:ascii="Arial" w:hAnsi="Arial" w:cs="Arial"/>
          <w:b w:val="0"/>
          <w:bCs w:val="0"/>
          <w:color w:val="3C3C3C"/>
          <w:spacing w:val="2"/>
          <w:sz w:val="31"/>
          <w:szCs w:val="31"/>
        </w:rPr>
        <w:t>?</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Перечень мероприятий, по которым организация может претендовать на возмещение части затрат четко ограничен в </w:t>
      </w:r>
      <w:hyperlink r:id="rId17" w:history="1">
        <w:r>
          <w:rPr>
            <w:rStyle w:val="a3"/>
            <w:rFonts w:ascii="Arial" w:hAnsi="Arial" w:cs="Arial"/>
            <w:color w:val="00466E"/>
            <w:spacing w:val="2"/>
            <w:sz w:val="21"/>
            <w:szCs w:val="21"/>
          </w:rPr>
          <w:t>п.3 Правил</w:t>
        </w:r>
      </w:hyperlink>
      <w:r>
        <w:rPr>
          <w:rFonts w:ascii="Arial" w:hAnsi="Arial" w:cs="Arial"/>
          <w:color w:val="2D2D2D"/>
          <w:spacing w:val="2"/>
          <w:sz w:val="21"/>
          <w:szCs w:val="21"/>
        </w:rPr>
        <w:t>.</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roofErr w:type="gramStart"/>
      <w:r>
        <w:rPr>
          <w:rFonts w:ascii="Arial" w:hAnsi="Arial" w:cs="Arial"/>
          <w:color w:val="2D2D2D"/>
          <w:spacing w:val="2"/>
          <w:sz w:val="21"/>
          <w:szCs w:val="21"/>
        </w:rPr>
        <w:t>а) проведение специальной оценки условий труда</w:t>
      </w:r>
      <w:r>
        <w:rPr>
          <w:rFonts w:ascii="Arial" w:hAnsi="Arial" w:cs="Arial"/>
          <w:color w:val="2D2D2D"/>
          <w:spacing w:val="2"/>
          <w:sz w:val="21"/>
          <w:szCs w:val="21"/>
        </w:rPr>
        <w:br/>
        <w:t>(перечень документов для представления в ФСС см. &gt;&gt;&gt;) </w:t>
      </w:r>
      <w:r>
        <w:rPr>
          <w:rFonts w:ascii="Arial" w:hAnsi="Arial" w:cs="Arial"/>
          <w:color w:val="2D2D2D"/>
          <w:spacing w:val="2"/>
          <w:sz w:val="21"/>
          <w:szCs w:val="21"/>
        </w:rPr>
        <w:br/>
      </w:r>
      <w:r>
        <w:rPr>
          <w:rFonts w:ascii="Arial" w:hAnsi="Arial" w:cs="Arial"/>
          <w:color w:val="2D2D2D"/>
          <w:spacing w:val="2"/>
          <w:sz w:val="21"/>
          <w:szCs w:val="21"/>
        </w:rPr>
        <w:b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Pr>
          <w:rFonts w:ascii="Arial" w:hAnsi="Arial" w:cs="Arial"/>
          <w:color w:val="2D2D2D"/>
          <w:spacing w:val="2"/>
          <w:sz w:val="21"/>
          <w:szCs w:val="21"/>
        </w:rPr>
        <w:b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в) обучение по охране труда определенных категорий работников (включая отдельные категории работников опасных производственных объектов):</w:t>
      </w:r>
      <w:r>
        <w:rPr>
          <w:rFonts w:ascii="Arial" w:hAnsi="Arial" w:cs="Arial"/>
          <w:color w:val="2D2D2D"/>
          <w:spacing w:val="2"/>
          <w:sz w:val="21"/>
          <w:szCs w:val="21"/>
        </w:rPr>
        <w:br/>
      </w:r>
      <w:r>
        <w:rPr>
          <w:rFonts w:ascii="Arial" w:hAnsi="Arial" w:cs="Arial"/>
          <w:color w:val="2D2D2D"/>
          <w:spacing w:val="2"/>
          <w:sz w:val="21"/>
          <w:szCs w:val="21"/>
        </w:rPr>
        <w:lastRenderedPageBreak/>
        <w:t>(перечень</w:t>
      </w:r>
      <w:proofErr w:type="gramEnd"/>
      <w:r>
        <w:rPr>
          <w:rFonts w:ascii="Arial" w:hAnsi="Arial" w:cs="Arial"/>
          <w:color w:val="2D2D2D"/>
          <w:spacing w:val="2"/>
          <w:sz w:val="21"/>
          <w:szCs w:val="21"/>
        </w:rPr>
        <w:t xml:space="preserve"> </w:t>
      </w:r>
      <w:proofErr w:type="gramStart"/>
      <w:r>
        <w:rPr>
          <w:rFonts w:ascii="Arial" w:hAnsi="Arial" w:cs="Arial"/>
          <w:color w:val="2D2D2D"/>
          <w:spacing w:val="2"/>
          <w:sz w:val="21"/>
          <w:szCs w:val="21"/>
        </w:rPr>
        <w:t>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 руководителей организаций малого предпринимательства;</w:t>
      </w:r>
      <w:r>
        <w:rPr>
          <w:rFonts w:ascii="Arial" w:hAnsi="Arial" w:cs="Arial"/>
          <w:color w:val="2D2D2D"/>
          <w:spacing w:val="2"/>
          <w:sz w:val="21"/>
          <w:szCs w:val="21"/>
        </w:rPr>
        <w:br/>
        <w:t>-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r>
        <w:rPr>
          <w:rFonts w:ascii="Arial" w:hAnsi="Arial" w:cs="Arial"/>
          <w:color w:val="2D2D2D"/>
          <w:spacing w:val="2"/>
          <w:sz w:val="21"/>
          <w:szCs w:val="21"/>
        </w:rPr>
        <w:br/>
        <w:t>- руководителей (в том числе руководителей структурных подразделений) государственных (муниципальных) учреждений;</w:t>
      </w:r>
      <w:r>
        <w:rPr>
          <w:rFonts w:ascii="Arial" w:hAnsi="Arial" w:cs="Arial"/>
          <w:color w:val="2D2D2D"/>
          <w:spacing w:val="2"/>
          <w:sz w:val="21"/>
          <w:szCs w:val="21"/>
        </w:rPr>
        <w:br/>
        <w:t>- руководителей и специалистов служб охраны труда организаций;</w:t>
      </w:r>
      <w:r>
        <w:rPr>
          <w:rFonts w:ascii="Arial" w:hAnsi="Arial" w:cs="Arial"/>
          <w:color w:val="2D2D2D"/>
          <w:spacing w:val="2"/>
          <w:sz w:val="21"/>
          <w:szCs w:val="21"/>
        </w:rPr>
        <w:br/>
        <w:t>- членов комитетов (комиссий) по охране труда;</w:t>
      </w:r>
      <w:proofErr w:type="gramEnd"/>
      <w:r>
        <w:rPr>
          <w:rFonts w:ascii="Arial" w:hAnsi="Arial" w:cs="Arial"/>
          <w:color w:val="2D2D2D"/>
          <w:spacing w:val="2"/>
          <w:sz w:val="21"/>
          <w:szCs w:val="21"/>
        </w:rPr>
        <w:br/>
        <w:t>- уполномоченных (доверенных) лиц по охране труда профессиональных союзов и иных уполномоченных работниками представительных органов;</w:t>
      </w:r>
      <w:r>
        <w:rPr>
          <w:rFonts w:ascii="Arial" w:hAnsi="Arial" w:cs="Arial"/>
          <w:color w:val="2D2D2D"/>
          <w:spacing w:val="2"/>
          <w:sz w:val="21"/>
          <w:szCs w:val="21"/>
        </w:rPr>
        <w:br/>
        <w:t xml:space="preserve">- </w:t>
      </w:r>
      <w:proofErr w:type="gramStart"/>
      <w:r>
        <w:rPr>
          <w:rFonts w:ascii="Arial" w:hAnsi="Arial" w:cs="Arial"/>
          <w:color w:val="2D2D2D"/>
          <w:spacing w:val="2"/>
          <w:sz w:val="21"/>
          <w:szCs w:val="21"/>
        </w:rPr>
        <w:t>отдельные категории работников организаций, отнесенных в соответствии с действующим законодательством к опасным производственным объектам, подлежащих обязательному обучению по охране труда в установленном </w:t>
      </w:r>
      <w:hyperlink r:id="rId18" w:history="1">
        <w:r>
          <w:rPr>
            <w:rStyle w:val="a3"/>
            <w:rFonts w:ascii="Arial" w:hAnsi="Arial" w:cs="Arial"/>
            <w:color w:val="00466E"/>
            <w:spacing w:val="2"/>
            <w:sz w:val="21"/>
            <w:szCs w:val="21"/>
          </w:rPr>
          <w:t>подпунктом 2.3.2 Порядке обучения по охране труда и проверки знаний требований охраны труда работников организаций</w:t>
        </w:r>
      </w:hyperlink>
      <w:r>
        <w:rPr>
          <w:rFonts w:ascii="Arial" w:hAnsi="Arial" w:cs="Arial"/>
          <w:color w:val="2D2D2D"/>
          <w:spacing w:val="2"/>
          <w:sz w:val="21"/>
          <w:szCs w:val="21"/>
        </w:rPr>
        <w: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roofErr w:type="gramEnd"/>
      <w:r>
        <w:rPr>
          <w:rFonts w:ascii="Arial" w:hAnsi="Arial" w:cs="Arial"/>
          <w:color w:val="2D2D2D"/>
          <w:spacing w:val="2"/>
          <w:sz w:val="21"/>
          <w:szCs w:val="21"/>
        </w:rPr>
        <w:t xml:space="preserve"> (в случае</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t xml:space="preserve"> если обучение проводится с отрывом от производства в организации, осуществляющей образовательную деятельность);</w:t>
      </w:r>
      <w:r>
        <w:rPr>
          <w:rFonts w:ascii="Arial" w:hAnsi="Arial" w:cs="Arial"/>
          <w:color w:val="2D2D2D"/>
          <w:spacing w:val="2"/>
          <w:sz w:val="21"/>
          <w:szCs w:val="21"/>
        </w:rPr>
        <w:br/>
      </w:r>
      <w:r>
        <w:rPr>
          <w:rFonts w:ascii="Arial" w:hAnsi="Arial" w:cs="Arial"/>
          <w:color w:val="2D2D2D"/>
          <w:spacing w:val="2"/>
          <w:sz w:val="21"/>
          <w:szCs w:val="21"/>
        </w:rPr>
        <w:b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roofErr w:type="spellStart"/>
      <w:r>
        <w:rPr>
          <w:rFonts w:ascii="Arial" w:hAnsi="Arial" w:cs="Arial"/>
          <w:color w:val="2D2D2D"/>
          <w:spacing w:val="2"/>
          <w:sz w:val="21"/>
          <w:szCs w:val="21"/>
        </w:rPr>
        <w:fldChar w:fldCharType="begin"/>
      </w:r>
      <w:r>
        <w:rPr>
          <w:rFonts w:ascii="Arial" w:hAnsi="Arial" w:cs="Arial"/>
          <w:color w:val="2D2D2D"/>
          <w:spacing w:val="2"/>
          <w:sz w:val="21"/>
          <w:szCs w:val="21"/>
        </w:rPr>
        <w:instrText xml:space="preserve"> HYPERLINK "http://docs.cntd.ru/document/902387260" </w:instrText>
      </w:r>
      <w:r>
        <w:rPr>
          <w:rFonts w:ascii="Arial" w:hAnsi="Arial" w:cs="Arial"/>
          <w:color w:val="2D2D2D"/>
          <w:spacing w:val="2"/>
          <w:sz w:val="21"/>
          <w:szCs w:val="21"/>
        </w:rPr>
        <w:fldChar w:fldCharType="separate"/>
      </w:r>
      <w:r>
        <w:rPr>
          <w:rStyle w:val="a3"/>
          <w:rFonts w:ascii="Arial" w:hAnsi="Arial" w:cs="Arial"/>
          <w:color w:val="00466E"/>
          <w:spacing w:val="2"/>
          <w:sz w:val="21"/>
          <w:szCs w:val="21"/>
        </w:rPr>
        <w:t>пп</w:t>
      </w:r>
      <w:proofErr w:type="spellEnd"/>
      <w:proofErr w:type="gramStart"/>
      <w:r>
        <w:rPr>
          <w:rStyle w:val="a3"/>
          <w:rFonts w:ascii="Arial" w:hAnsi="Arial" w:cs="Arial"/>
          <w:color w:val="00466E"/>
          <w:spacing w:val="2"/>
          <w:sz w:val="21"/>
          <w:szCs w:val="21"/>
        </w:rPr>
        <w:t>."</w:t>
      </w:r>
      <w:proofErr w:type="gramEnd"/>
      <w:r>
        <w:rPr>
          <w:rStyle w:val="a3"/>
          <w:rFonts w:ascii="Arial" w:hAnsi="Arial" w:cs="Arial"/>
          <w:color w:val="00466E"/>
          <w:spacing w:val="2"/>
          <w:sz w:val="21"/>
          <w:szCs w:val="21"/>
        </w:rPr>
        <w:t>г" п.3 Правил</w:t>
      </w:r>
      <w:r>
        <w:rPr>
          <w:rFonts w:ascii="Arial" w:hAnsi="Arial" w:cs="Arial"/>
          <w:color w:val="2D2D2D"/>
          <w:spacing w:val="2"/>
          <w:sz w:val="21"/>
          <w:szCs w:val="21"/>
        </w:rPr>
        <w:fldChar w:fldCharType="end"/>
      </w:r>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средств индивидуальной защиты, изготовленных на территории государств - членов ЕАЭС, в соответствии с типовыми нормами бесплатной выдачи специальной одежды;</w:t>
      </w:r>
      <w:r>
        <w:rPr>
          <w:rFonts w:ascii="Arial" w:hAnsi="Arial" w:cs="Arial"/>
          <w:color w:val="2D2D2D"/>
          <w:spacing w:val="2"/>
          <w:sz w:val="21"/>
          <w:szCs w:val="21"/>
        </w:rPr>
        <w:br/>
      </w:r>
      <w:r>
        <w:rPr>
          <w:rFonts w:ascii="Arial" w:hAnsi="Arial" w:cs="Arial"/>
          <w:color w:val="2D2D2D"/>
          <w:spacing w:val="2"/>
          <w:sz w:val="21"/>
          <w:szCs w:val="21"/>
        </w:rPr>
        <w:br/>
        <w:t>- специальной обуви;</w:t>
      </w:r>
      <w:r>
        <w:rPr>
          <w:rFonts w:ascii="Arial" w:hAnsi="Arial" w:cs="Arial"/>
          <w:color w:val="2D2D2D"/>
          <w:spacing w:val="2"/>
          <w:sz w:val="21"/>
          <w:szCs w:val="21"/>
        </w:rPr>
        <w:br/>
      </w:r>
      <w:r>
        <w:rPr>
          <w:rFonts w:ascii="Arial" w:hAnsi="Arial" w:cs="Arial"/>
          <w:color w:val="2D2D2D"/>
          <w:spacing w:val="2"/>
          <w:sz w:val="21"/>
          <w:szCs w:val="21"/>
        </w:rPr>
        <w:br/>
        <w:t xml:space="preserve">- других средств индивидуальной защиты (далее соответственно - </w:t>
      </w:r>
      <w:proofErr w:type="gramStart"/>
      <w:r>
        <w:rPr>
          <w:rFonts w:ascii="Arial" w:hAnsi="Arial" w:cs="Arial"/>
          <w:color w:val="2D2D2D"/>
          <w:spacing w:val="2"/>
          <w:sz w:val="21"/>
          <w:szCs w:val="21"/>
        </w:rPr>
        <w:t>СИЗ</w:t>
      </w:r>
      <w:proofErr w:type="gramEnd"/>
      <w:r>
        <w:rPr>
          <w:rFonts w:ascii="Arial" w:hAnsi="Arial" w:cs="Arial"/>
          <w:color w:val="2D2D2D"/>
          <w:spacing w:val="2"/>
          <w:sz w:val="21"/>
          <w:szCs w:val="21"/>
        </w:rPr>
        <w:t>, типовые нормы) и (или) на основании результатов проведения специальной оценки условий труда</w:t>
      </w:r>
      <w:r>
        <w:rPr>
          <w:rFonts w:ascii="Arial" w:hAnsi="Arial" w:cs="Arial"/>
          <w:color w:val="2D2D2D"/>
          <w:spacing w:val="2"/>
          <w:sz w:val="21"/>
          <w:szCs w:val="21"/>
        </w:rPr>
        <w:br/>
      </w:r>
      <w:r>
        <w:rPr>
          <w:rFonts w:ascii="Arial" w:hAnsi="Arial" w:cs="Arial"/>
          <w:color w:val="2D2D2D"/>
          <w:spacing w:val="2"/>
          <w:sz w:val="21"/>
          <w:szCs w:val="21"/>
        </w:rPr>
        <w:br/>
        <w:t>- смывающих и (или) обезвреживающих средств.</w:t>
      </w:r>
      <w:r>
        <w:rPr>
          <w:rFonts w:ascii="Arial" w:hAnsi="Arial" w:cs="Arial"/>
          <w:color w:val="2D2D2D"/>
          <w:spacing w:val="2"/>
          <w:sz w:val="21"/>
          <w:szCs w:val="21"/>
        </w:rPr>
        <w:br/>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(перечень документов для представления в ФСС см.&gt;&gt;&gt;)</w:t>
      </w:r>
      <w:r>
        <w:rPr>
          <w:rFonts w:ascii="Arial" w:hAnsi="Arial" w:cs="Arial"/>
          <w:color w:val="2D2D2D"/>
          <w:spacing w:val="2"/>
          <w:sz w:val="21"/>
          <w:szCs w:val="21"/>
        </w:rPr>
        <w:br/>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roofErr w:type="spellStart"/>
      <w:r>
        <w:rPr>
          <w:rFonts w:ascii="Arial" w:hAnsi="Arial" w:cs="Arial"/>
          <w:color w:val="2D2D2D"/>
          <w:spacing w:val="2"/>
          <w:sz w:val="21"/>
          <w:szCs w:val="21"/>
        </w:rPr>
        <w:t>д</w:t>
      </w:r>
      <w:proofErr w:type="spellEnd"/>
      <w:r>
        <w:rPr>
          <w:rFonts w:ascii="Arial" w:hAnsi="Arial" w:cs="Arial"/>
          <w:color w:val="2D2D2D"/>
          <w:spacing w:val="2"/>
          <w:sz w:val="21"/>
          <w:szCs w:val="21"/>
        </w:rPr>
        <w:t>) санаторно-курортное лечение работников, занятых на работах с вредными и (или) опасными производственными факторами</w:t>
      </w:r>
      <w:r>
        <w:rPr>
          <w:rFonts w:ascii="Arial" w:hAnsi="Arial" w:cs="Arial"/>
          <w:color w:val="2D2D2D"/>
          <w:spacing w:val="2"/>
          <w:sz w:val="21"/>
          <w:szCs w:val="21"/>
        </w:rPr>
        <w:br/>
        <w:t>(перечень документов для представления в ФСС см.&gt;&gt;&gt;)</w:t>
      </w:r>
      <w:r>
        <w:rPr>
          <w:rFonts w:ascii="Arial" w:hAnsi="Arial" w:cs="Arial"/>
          <w:color w:val="2D2D2D"/>
          <w:spacing w:val="2"/>
          <w:sz w:val="21"/>
          <w:szCs w:val="21"/>
        </w:rPr>
        <w:br/>
      </w:r>
    </w:p>
    <w:tbl>
      <w:tblPr>
        <w:tblW w:w="0" w:type="auto"/>
        <w:tblCellMar>
          <w:left w:w="0" w:type="dxa"/>
          <w:right w:w="0" w:type="dxa"/>
        </w:tblCellMar>
        <w:tblLook w:val="04A0"/>
      </w:tblPr>
      <w:tblGrid>
        <w:gridCol w:w="1253"/>
        <w:gridCol w:w="8102"/>
      </w:tblGrid>
      <w:tr w:rsidR="003257F8" w:rsidTr="003257F8">
        <w:trPr>
          <w:trHeight w:val="15"/>
        </w:trPr>
        <w:tc>
          <w:tcPr>
            <w:tcW w:w="1294" w:type="dxa"/>
            <w:hideMark/>
          </w:tcPr>
          <w:p w:rsidR="003257F8" w:rsidRDefault="003257F8">
            <w:pPr>
              <w:rPr>
                <w:sz w:val="2"/>
                <w:szCs w:val="24"/>
              </w:rPr>
            </w:pPr>
          </w:p>
        </w:tc>
        <w:tc>
          <w:tcPr>
            <w:tcW w:w="11827" w:type="dxa"/>
            <w:hideMark/>
          </w:tcPr>
          <w:p w:rsidR="003257F8" w:rsidRDefault="003257F8">
            <w:pPr>
              <w:rPr>
                <w:sz w:val="2"/>
                <w:szCs w:val="24"/>
              </w:rPr>
            </w:pPr>
          </w:p>
        </w:tc>
      </w:tr>
      <w:tr w:rsidR="003257F8" w:rsidTr="003257F8">
        <w:tc>
          <w:tcPr>
            <w:tcW w:w="1294" w:type="dxa"/>
            <w:tcBorders>
              <w:top w:val="nil"/>
              <w:left w:val="nil"/>
              <w:bottom w:val="nil"/>
              <w:right w:val="nil"/>
            </w:tcBorders>
            <w:tcMar>
              <w:top w:w="0" w:type="dxa"/>
              <w:left w:w="149" w:type="dxa"/>
              <w:bottom w:w="0" w:type="dxa"/>
              <w:right w:w="149" w:type="dxa"/>
            </w:tcMar>
            <w:hideMark/>
          </w:tcPr>
          <w:p w:rsidR="003257F8" w:rsidRDefault="003257F8">
            <w:pPr>
              <w:pStyle w:val="formattext"/>
              <w:spacing w:before="0" w:beforeAutospacing="0" w:after="0" w:afterAutospacing="0" w:line="315" w:lineRule="atLeast"/>
              <w:jc w:val="center"/>
              <w:textAlignment w:val="baseline"/>
              <w:rPr>
                <w:color w:val="2D2D2D"/>
                <w:sz w:val="21"/>
                <w:szCs w:val="21"/>
              </w:rPr>
            </w:pPr>
            <w:r>
              <w:rPr>
                <w:noProof/>
                <w:color w:val="2D2D2D"/>
                <w:sz w:val="21"/>
                <w:szCs w:val="21"/>
              </w:rPr>
              <w:drawing>
                <wp:inline distT="0" distB="0" distL="0" distR="0">
                  <wp:extent cx="552450" cy="400050"/>
                  <wp:effectExtent l="19050" t="0" r="0" b="0"/>
                  <wp:docPr id="3" name="Рисунок 3" descr="Возмещение затрат на мероприятия по охране труда из Ф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змещение затрат на мероприятия по охране труда из ФСС"/>
                          <pic:cNvPicPr>
                            <a:picLocks noChangeAspect="1" noChangeArrowheads="1"/>
                          </pic:cNvPicPr>
                        </pic:nvPicPr>
                        <pic:blipFill>
                          <a:blip r:embed="rId19"/>
                          <a:srcRect/>
                          <a:stretch>
                            <a:fillRect/>
                          </a:stretch>
                        </pic:blipFill>
                        <pic:spPr bwMode="auto">
                          <a:xfrm>
                            <a:off x="0" y="0"/>
                            <a:ext cx="552450" cy="400050"/>
                          </a:xfrm>
                          <a:prstGeom prst="rect">
                            <a:avLst/>
                          </a:prstGeom>
                          <a:noFill/>
                          <a:ln w="9525">
                            <a:noFill/>
                            <a:miter lim="800000"/>
                            <a:headEnd/>
                            <a:tailEnd/>
                          </a:ln>
                        </pic:spPr>
                      </pic:pic>
                    </a:graphicData>
                  </a:graphic>
                </wp:inline>
              </w:drawing>
            </w:r>
          </w:p>
        </w:tc>
        <w:tc>
          <w:tcPr>
            <w:tcW w:w="11827" w:type="dxa"/>
            <w:tcBorders>
              <w:top w:val="nil"/>
              <w:left w:val="nil"/>
              <w:bottom w:val="nil"/>
              <w:right w:val="nil"/>
            </w:tcBorders>
            <w:tcMar>
              <w:top w:w="0" w:type="dxa"/>
              <w:left w:w="149" w:type="dxa"/>
              <w:bottom w:w="0" w:type="dxa"/>
              <w:right w:w="149" w:type="dxa"/>
            </w:tcMar>
            <w:hideMark/>
          </w:tcPr>
          <w:p w:rsidR="003257F8" w:rsidRDefault="003257F8">
            <w:pPr>
              <w:pStyle w:val="formattext"/>
              <w:spacing w:before="0" w:beforeAutospacing="0" w:after="0" w:afterAutospacing="0" w:line="315" w:lineRule="atLeast"/>
              <w:textAlignment w:val="baseline"/>
              <w:rPr>
                <w:color w:val="2D2D2D"/>
                <w:sz w:val="21"/>
                <w:szCs w:val="21"/>
              </w:rPr>
            </w:pPr>
            <w:r>
              <w:rPr>
                <w:b/>
                <w:bCs/>
                <w:color w:val="2D2D2D"/>
                <w:sz w:val="21"/>
                <w:szCs w:val="21"/>
              </w:rPr>
              <w:t>За счет взносов на травматизм можно оплатить отпуск на период санаторно-курортного лечения работника</w:t>
            </w:r>
            <w:r>
              <w:rPr>
                <w:color w:val="2D2D2D"/>
                <w:sz w:val="21"/>
                <w:szCs w:val="21"/>
              </w:rPr>
              <w:br/>
            </w:r>
            <w:r>
              <w:rPr>
                <w:color w:val="2D2D2D"/>
                <w:sz w:val="21"/>
                <w:szCs w:val="21"/>
              </w:rPr>
              <w:br/>
              <w:t>Компания вправе зачесть в счет взносов на травматизм сумму дополнительного отпуска за период санаторно-курортного лечения работника (</w:t>
            </w:r>
            <w:hyperlink r:id="rId20" w:history="1">
              <w:r>
                <w:rPr>
                  <w:rStyle w:val="a3"/>
                  <w:color w:val="00466E"/>
                  <w:sz w:val="21"/>
                  <w:szCs w:val="21"/>
                </w:rPr>
                <w:t xml:space="preserve">п.7 ст.15 Федерального </w:t>
              </w:r>
              <w:r>
                <w:rPr>
                  <w:rStyle w:val="a3"/>
                  <w:color w:val="00466E"/>
                  <w:sz w:val="21"/>
                  <w:szCs w:val="21"/>
                </w:rPr>
                <w:lastRenderedPageBreak/>
                <w:t>закона от 24.07.98 N 125-ФЗ</w:t>
              </w:r>
            </w:hyperlink>
            <w:r>
              <w:rPr>
                <w:color w:val="2D2D2D"/>
                <w:sz w:val="21"/>
                <w:szCs w:val="21"/>
              </w:rPr>
              <w:t>). Такой отпуск положен работникам, получившим травму или профессиональное заболевание на производстве. Но на практике возникают споры, если компания зачла оплату за дни отпуска, выпавшие на нерабочие праздничные дни. Например, на 12 июня. По мнению ФСС, это запрещено, так как праздники не включаются в число дней отпуска (</w:t>
            </w:r>
            <w:hyperlink r:id="rId21" w:history="1">
              <w:r>
                <w:rPr>
                  <w:rStyle w:val="a3"/>
                  <w:color w:val="00466E"/>
                  <w:sz w:val="21"/>
                  <w:szCs w:val="21"/>
                </w:rPr>
                <w:t>ст.120 ТК РФ</w:t>
              </w:r>
            </w:hyperlink>
            <w:r>
              <w:rPr>
                <w:color w:val="2D2D2D"/>
                <w:sz w:val="21"/>
                <w:szCs w:val="21"/>
              </w:rPr>
              <w:t>). И фонд может исключить праздник из числа оплачиваемых дней и суммы не возместит.</w:t>
            </w:r>
            <w:r>
              <w:rPr>
                <w:color w:val="2D2D2D"/>
                <w:sz w:val="21"/>
                <w:szCs w:val="21"/>
              </w:rPr>
              <w:br/>
            </w:r>
            <w:r>
              <w:rPr>
                <w:color w:val="2D2D2D"/>
                <w:sz w:val="21"/>
                <w:szCs w:val="21"/>
              </w:rPr>
              <w:br/>
              <w:t>В то же время по закону надо оплатить дни отпуска за весь период санаторно-курортного лечения работника (</w:t>
            </w:r>
            <w:hyperlink r:id="rId22" w:history="1">
              <w:r>
                <w:rPr>
                  <w:rStyle w:val="a3"/>
                  <w:color w:val="00466E"/>
                  <w:sz w:val="21"/>
                  <w:szCs w:val="21"/>
                </w:rPr>
                <w:t>подп.10 п.2 ст.17 Федерального закона от 24.07.98 N 125-ФЗ</w:t>
              </w:r>
            </w:hyperlink>
            <w:r>
              <w:rPr>
                <w:color w:val="2D2D2D"/>
                <w:sz w:val="21"/>
                <w:szCs w:val="21"/>
              </w:rPr>
              <w:t>). И не имеет значения, что на эти дни выпали праздники. Значит, и ФСС должен возместить оплату полностью. Поэтому компании могут добиться в суде зачета оплаченного отпуска в счет взносов (постановление </w:t>
            </w:r>
            <w:hyperlink r:id="rId23" w:history="1">
              <w:r>
                <w:rPr>
                  <w:rStyle w:val="a3"/>
                  <w:color w:val="00466E"/>
                  <w:sz w:val="21"/>
                  <w:szCs w:val="21"/>
                </w:rPr>
                <w:t xml:space="preserve">Федерального арбитражного суда </w:t>
              </w:r>
              <w:proofErr w:type="spellStart"/>
              <w:r>
                <w:rPr>
                  <w:rStyle w:val="a3"/>
                  <w:color w:val="00466E"/>
                  <w:sz w:val="21"/>
                  <w:szCs w:val="21"/>
                </w:rPr>
                <w:t>Западно-Сибирского</w:t>
              </w:r>
              <w:proofErr w:type="spellEnd"/>
              <w:r>
                <w:rPr>
                  <w:rStyle w:val="a3"/>
                  <w:color w:val="00466E"/>
                  <w:sz w:val="21"/>
                  <w:szCs w:val="21"/>
                </w:rPr>
                <w:t xml:space="preserve"> округа от 22.08.2013 N А27-19609/2012</w:t>
              </w:r>
            </w:hyperlink>
            <w:r>
              <w:rPr>
                <w:color w:val="2D2D2D"/>
                <w:sz w:val="21"/>
                <w:szCs w:val="21"/>
              </w:rPr>
              <w:t>).</w:t>
            </w:r>
          </w:p>
        </w:tc>
      </w:tr>
    </w:tbl>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br/>
      </w:r>
      <w:r>
        <w:rPr>
          <w:rFonts w:ascii="Arial" w:hAnsi="Arial" w:cs="Arial"/>
          <w:color w:val="2D2D2D"/>
          <w:spacing w:val="2"/>
          <w:sz w:val="21"/>
          <w:szCs w:val="21"/>
        </w:rPr>
        <w:b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r>
        <w:rPr>
          <w:rFonts w:ascii="Arial" w:hAnsi="Arial" w:cs="Arial"/>
          <w:color w:val="2D2D2D"/>
          <w:spacing w:val="2"/>
          <w:sz w:val="21"/>
          <w:szCs w:val="21"/>
        </w:rPr>
        <w:br/>
      </w:r>
      <w:proofErr w:type="gramStart"/>
      <w:r>
        <w:rPr>
          <w:rFonts w:ascii="Arial" w:hAnsi="Arial" w:cs="Arial"/>
          <w:color w:val="2D2D2D"/>
          <w:spacing w:val="2"/>
          <w:sz w:val="21"/>
          <w:szCs w:val="21"/>
        </w:rP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ж) обеспечение лечебно-профилактическим питанием (далее - ЛПП) работников, для которых указанное питание предусмотрено </w:t>
      </w:r>
      <w:hyperlink r:id="rId24" w:history="1">
        <w:r>
          <w:rPr>
            <w:rStyle w:val="a3"/>
            <w:rFonts w:ascii="Arial" w:hAnsi="Arial" w:cs="Arial"/>
            <w:color w:val="00466E"/>
            <w:spacing w:val="2"/>
            <w:sz w:val="21"/>
            <w:szCs w:val="21"/>
          </w:rPr>
          <w:t>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w:t>
        </w:r>
      </w:hyperlink>
      <w:r>
        <w:rPr>
          <w:rFonts w:ascii="Arial" w:hAnsi="Arial" w:cs="Arial"/>
          <w:color w:val="2D2D2D"/>
          <w:spacing w:val="2"/>
          <w:sz w:val="21"/>
          <w:szCs w:val="21"/>
        </w:rPr>
        <w:t>, утвержденным </w:t>
      </w:r>
      <w:hyperlink r:id="rId25" w:history="1">
        <w:r>
          <w:rPr>
            <w:rStyle w:val="a3"/>
            <w:rFonts w:ascii="Arial" w:hAnsi="Arial" w:cs="Arial"/>
            <w:color w:val="00466E"/>
            <w:spacing w:val="2"/>
            <w:sz w:val="21"/>
            <w:szCs w:val="21"/>
          </w:rPr>
          <w:t xml:space="preserve">приказом </w:t>
        </w:r>
        <w:proofErr w:type="spellStart"/>
        <w:r>
          <w:rPr>
            <w:rStyle w:val="a3"/>
            <w:rFonts w:ascii="Arial" w:hAnsi="Arial" w:cs="Arial"/>
            <w:color w:val="00466E"/>
            <w:spacing w:val="2"/>
            <w:sz w:val="21"/>
            <w:szCs w:val="21"/>
          </w:rPr>
          <w:t>Минздравсоцразвития</w:t>
        </w:r>
        <w:proofErr w:type="spellEnd"/>
        <w:r>
          <w:rPr>
            <w:rStyle w:val="a3"/>
            <w:rFonts w:ascii="Arial" w:hAnsi="Arial" w:cs="Arial"/>
            <w:color w:val="00466E"/>
            <w:spacing w:val="2"/>
            <w:sz w:val="21"/>
            <w:szCs w:val="21"/>
          </w:rPr>
          <w:t xml:space="preserve"> России от 16 февраля 2009 года N 46н</w:t>
        </w:r>
      </w:hyperlink>
      <w:r>
        <w:rPr>
          <w:rFonts w:ascii="Arial" w:hAnsi="Arial" w:cs="Arial"/>
          <w:color w:val="2D2D2D"/>
          <w:spacing w:val="2"/>
          <w:sz w:val="21"/>
          <w:szCs w:val="21"/>
        </w:rPr>
        <w:t> (зарегистрирован Министерством юстиции Российской Федерации 20 апреля 2009</w:t>
      </w:r>
      <w:proofErr w:type="gramEnd"/>
      <w:r>
        <w:rPr>
          <w:rFonts w:ascii="Arial" w:hAnsi="Arial" w:cs="Arial"/>
          <w:color w:val="2D2D2D"/>
          <w:spacing w:val="2"/>
          <w:sz w:val="21"/>
          <w:szCs w:val="21"/>
        </w:rPr>
        <w:t xml:space="preserve"> года N 13796) (далее - </w:t>
      </w:r>
      <w:hyperlink r:id="rId26" w:history="1">
        <w:r>
          <w:rPr>
            <w:rStyle w:val="a3"/>
            <w:rFonts w:ascii="Arial" w:hAnsi="Arial" w:cs="Arial"/>
            <w:color w:val="00466E"/>
            <w:spacing w:val="2"/>
            <w:sz w:val="21"/>
            <w:szCs w:val="21"/>
          </w:rPr>
          <w:t>Перечень</w:t>
        </w:r>
      </w:hyperlink>
      <w:r>
        <w:rPr>
          <w:rFonts w:ascii="Arial" w:hAnsi="Arial" w:cs="Arial"/>
          <w:color w:val="2D2D2D"/>
          <w:spacing w:val="2"/>
          <w:sz w:val="21"/>
          <w:szCs w:val="21"/>
        </w:rPr>
        <w:t>);</w:t>
      </w:r>
      <w:r>
        <w:rPr>
          <w:rFonts w:ascii="Arial" w:hAnsi="Arial" w:cs="Arial"/>
          <w:color w:val="2D2D2D"/>
          <w:spacing w:val="2"/>
          <w:sz w:val="21"/>
          <w:szCs w:val="21"/>
        </w:rPr>
        <w:b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r>
      <w:proofErr w:type="spellStart"/>
      <w:r>
        <w:rPr>
          <w:rFonts w:ascii="Arial" w:hAnsi="Arial" w:cs="Arial"/>
          <w:color w:val="2D2D2D"/>
          <w:spacing w:val="2"/>
          <w:sz w:val="21"/>
          <w:szCs w:val="21"/>
        </w:rPr>
        <w:t>з</w:t>
      </w:r>
      <w:proofErr w:type="spellEnd"/>
      <w:r>
        <w:rPr>
          <w:rFonts w:ascii="Arial" w:hAnsi="Arial" w:cs="Arial"/>
          <w:color w:val="2D2D2D"/>
          <w:spacing w:val="2"/>
          <w:sz w:val="21"/>
          <w:szCs w:val="21"/>
        </w:rPr>
        <w:t xml:space="preserve">) приобретение страхователями, работники которых проходят обязательные </w:t>
      </w:r>
      <w:proofErr w:type="spellStart"/>
      <w:r>
        <w:rPr>
          <w:rFonts w:ascii="Arial" w:hAnsi="Arial" w:cs="Arial"/>
          <w:color w:val="2D2D2D"/>
          <w:spacing w:val="2"/>
          <w:sz w:val="21"/>
          <w:szCs w:val="21"/>
        </w:rPr>
        <w:t>предсменные</w:t>
      </w:r>
      <w:proofErr w:type="spellEnd"/>
      <w:r>
        <w:rPr>
          <w:rFonts w:ascii="Arial" w:hAnsi="Arial" w:cs="Arial"/>
          <w:color w:val="2D2D2D"/>
          <w:spacing w:val="2"/>
          <w:sz w:val="21"/>
          <w:szCs w:val="21"/>
        </w:rPr>
        <w:t xml:space="preserve"> и (или) </w:t>
      </w:r>
      <w:proofErr w:type="spellStart"/>
      <w:r>
        <w:rPr>
          <w:rFonts w:ascii="Arial" w:hAnsi="Arial" w:cs="Arial"/>
          <w:color w:val="2D2D2D"/>
          <w:spacing w:val="2"/>
          <w:sz w:val="21"/>
          <w:szCs w:val="21"/>
        </w:rPr>
        <w:t>предрейсовые</w:t>
      </w:r>
      <w:proofErr w:type="spellEnd"/>
      <w:r>
        <w:rPr>
          <w:rFonts w:ascii="Arial" w:hAnsi="Arial" w:cs="Arial"/>
          <w:color w:val="2D2D2D"/>
          <w:spacing w:val="2"/>
          <w:sz w:val="21"/>
          <w:szCs w:val="21"/>
        </w:rPr>
        <w:t xml:space="preserve"> медицинские осмотры, приборов для определения наличия и уровня содержания алкоголя (</w:t>
      </w:r>
      <w:proofErr w:type="spellStart"/>
      <w:r>
        <w:rPr>
          <w:rFonts w:ascii="Arial" w:hAnsi="Arial" w:cs="Arial"/>
          <w:color w:val="2D2D2D"/>
          <w:spacing w:val="2"/>
          <w:sz w:val="21"/>
          <w:szCs w:val="21"/>
        </w:rPr>
        <w:t>алкотестеры</w:t>
      </w:r>
      <w:proofErr w:type="spellEnd"/>
      <w:r>
        <w:rPr>
          <w:rFonts w:ascii="Arial" w:hAnsi="Arial" w:cs="Arial"/>
          <w:color w:val="2D2D2D"/>
          <w:spacing w:val="2"/>
          <w:sz w:val="21"/>
          <w:szCs w:val="21"/>
        </w:rPr>
        <w:t xml:space="preserve"> или </w:t>
      </w:r>
      <w:proofErr w:type="spellStart"/>
      <w:r>
        <w:rPr>
          <w:rFonts w:ascii="Arial" w:hAnsi="Arial" w:cs="Arial"/>
          <w:color w:val="2D2D2D"/>
          <w:spacing w:val="2"/>
          <w:sz w:val="21"/>
          <w:szCs w:val="21"/>
        </w:rPr>
        <w:t>алкометры</w:t>
      </w:r>
      <w:proofErr w:type="spellEnd"/>
      <w:r>
        <w:rPr>
          <w:rFonts w:ascii="Arial" w:hAnsi="Arial" w:cs="Arial"/>
          <w:color w:val="2D2D2D"/>
          <w:spacing w:val="2"/>
          <w:sz w:val="21"/>
          <w:szCs w:val="21"/>
        </w:rPr>
        <w:t>);</w:t>
      </w:r>
      <w:r>
        <w:rPr>
          <w:rFonts w:ascii="Arial" w:hAnsi="Arial" w:cs="Arial"/>
          <w:color w:val="2D2D2D"/>
          <w:spacing w:val="2"/>
          <w:sz w:val="21"/>
          <w:szCs w:val="21"/>
        </w:rPr>
        <w:b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 xml:space="preserve">и) приобретение страхователями, осуществляющими пассажирские и грузовые перевозки, приборов </w:t>
      </w:r>
      <w:proofErr w:type="gramStart"/>
      <w:r>
        <w:rPr>
          <w:rFonts w:ascii="Arial" w:hAnsi="Arial" w:cs="Arial"/>
          <w:color w:val="2D2D2D"/>
          <w:spacing w:val="2"/>
          <w:sz w:val="21"/>
          <w:szCs w:val="21"/>
        </w:rPr>
        <w:t>контроля за</w:t>
      </w:r>
      <w:proofErr w:type="gramEnd"/>
      <w:r>
        <w:rPr>
          <w:rFonts w:ascii="Arial" w:hAnsi="Arial" w:cs="Arial"/>
          <w:color w:val="2D2D2D"/>
          <w:spacing w:val="2"/>
          <w:sz w:val="21"/>
          <w:szCs w:val="21"/>
        </w:rPr>
        <w:t xml:space="preserve"> режимом труда и отдыха водителей (</w:t>
      </w:r>
      <w:proofErr w:type="spellStart"/>
      <w:r>
        <w:rPr>
          <w:rFonts w:ascii="Arial" w:hAnsi="Arial" w:cs="Arial"/>
          <w:color w:val="2D2D2D"/>
          <w:spacing w:val="2"/>
          <w:sz w:val="21"/>
          <w:szCs w:val="21"/>
        </w:rPr>
        <w:t>тахографов</w:t>
      </w:r>
      <w:proofErr w:type="spellEnd"/>
      <w:r>
        <w:rPr>
          <w:rFonts w:ascii="Arial" w:hAnsi="Arial" w:cs="Arial"/>
          <w:color w:val="2D2D2D"/>
          <w:spacing w:val="2"/>
          <w:sz w:val="21"/>
          <w:szCs w:val="21"/>
        </w:rPr>
        <w:t>);</w:t>
      </w:r>
      <w:r>
        <w:rPr>
          <w:rFonts w:ascii="Arial" w:hAnsi="Arial" w:cs="Arial"/>
          <w:color w:val="2D2D2D"/>
          <w:spacing w:val="2"/>
          <w:sz w:val="21"/>
          <w:szCs w:val="21"/>
        </w:rPr>
        <w:b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к) приобретение страхователями аптечек для оказания первой помощи</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br/>
        <w:t>(</w:t>
      </w:r>
      <w:proofErr w:type="gramStart"/>
      <w:r>
        <w:rPr>
          <w:rFonts w:ascii="Arial" w:hAnsi="Arial" w:cs="Arial"/>
          <w:color w:val="2D2D2D"/>
          <w:spacing w:val="2"/>
          <w:sz w:val="21"/>
          <w:szCs w:val="21"/>
        </w:rPr>
        <w:t>п</w:t>
      </w:r>
      <w:proofErr w:type="gramEnd"/>
      <w:r>
        <w:rPr>
          <w:rFonts w:ascii="Arial" w:hAnsi="Arial" w:cs="Arial"/>
          <w:color w:val="2D2D2D"/>
          <w:spacing w:val="2"/>
          <w:sz w:val="21"/>
          <w:szCs w:val="21"/>
        </w:rPr>
        <w:t>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r>
        <w:rPr>
          <w:rFonts w:ascii="Arial" w:hAnsi="Arial" w:cs="Arial"/>
          <w:color w:val="2D2D2D"/>
          <w:spacing w:val="2"/>
          <w:sz w:val="21"/>
          <w:szCs w:val="21"/>
        </w:rPr>
        <w:br/>
      </w:r>
      <w:proofErr w:type="gramStart"/>
      <w:r>
        <w:rPr>
          <w:rFonts w:ascii="Arial" w:hAnsi="Arial" w:cs="Arial"/>
          <w:color w:val="2D2D2D"/>
          <w:spacing w:val="2"/>
          <w:sz w:val="21"/>
          <w:szCs w:val="21"/>
        </w:rPr>
        <w:t>(перечень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lastRenderedPageBreak/>
        <w:b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w:t>
      </w:r>
      <w:proofErr w:type="gramEnd"/>
      <w:r>
        <w:rPr>
          <w:rFonts w:ascii="Arial" w:hAnsi="Arial" w:cs="Arial"/>
          <w:color w:val="2D2D2D"/>
          <w:spacing w:val="2"/>
          <w:sz w:val="21"/>
          <w:szCs w:val="21"/>
        </w:rPr>
        <w:t xml:space="preserve"> безопасному производству работ, а также хранение результатов такой фиксации</w:t>
      </w:r>
      <w:proofErr w:type="gramStart"/>
      <w:r>
        <w:rPr>
          <w:rFonts w:ascii="Arial" w:hAnsi="Arial" w:cs="Arial"/>
          <w:color w:val="2D2D2D"/>
          <w:spacing w:val="2"/>
          <w:sz w:val="21"/>
          <w:szCs w:val="21"/>
        </w:rPr>
        <w:t>.</w:t>
      </w:r>
      <w:proofErr w:type="gramEnd"/>
      <w:r>
        <w:rPr>
          <w:rFonts w:ascii="Arial" w:hAnsi="Arial" w:cs="Arial"/>
          <w:color w:val="2D2D2D"/>
          <w:spacing w:val="2"/>
          <w:sz w:val="21"/>
          <w:szCs w:val="21"/>
        </w:rPr>
        <w:br/>
        <w:t>(</w:t>
      </w:r>
      <w:proofErr w:type="gramStart"/>
      <w:r>
        <w:rPr>
          <w:rFonts w:ascii="Arial" w:hAnsi="Arial" w:cs="Arial"/>
          <w:color w:val="2D2D2D"/>
          <w:spacing w:val="2"/>
          <w:sz w:val="21"/>
          <w:szCs w:val="21"/>
        </w:rPr>
        <w:t>п</w:t>
      </w:r>
      <w:proofErr w:type="gramEnd"/>
      <w:r>
        <w:rPr>
          <w:rFonts w:ascii="Arial" w:hAnsi="Arial" w:cs="Arial"/>
          <w:color w:val="2D2D2D"/>
          <w:spacing w:val="2"/>
          <w:sz w:val="21"/>
          <w:szCs w:val="21"/>
        </w:rPr>
        <w:t>еречень документов для представления в ФСС см.&gt;&gt;&gt;)</w:t>
      </w:r>
      <w:r>
        <w:rPr>
          <w:rFonts w:ascii="Arial" w:hAnsi="Arial" w:cs="Arial"/>
          <w:color w:val="2D2D2D"/>
          <w:spacing w:val="2"/>
          <w:sz w:val="21"/>
          <w:szCs w:val="21"/>
        </w:rPr>
        <w:br/>
      </w:r>
      <w:r>
        <w:rPr>
          <w:rFonts w:ascii="Arial" w:hAnsi="Arial" w:cs="Arial"/>
          <w:color w:val="2D2D2D"/>
          <w:spacing w:val="2"/>
          <w:sz w:val="21"/>
          <w:szCs w:val="21"/>
        </w:rPr>
        <w:br/>
        <w:t>Также можно возместить за счет взносов на травматизм расходы на покупку аптечек. Возмещают расходы на медицинские изделия, которые обязательно входят в состав аптечек (</w:t>
      </w:r>
      <w:hyperlink r:id="rId27" w:history="1">
        <w:r>
          <w:rPr>
            <w:rStyle w:val="a3"/>
            <w:rFonts w:ascii="Arial" w:hAnsi="Arial" w:cs="Arial"/>
            <w:color w:val="00466E"/>
            <w:spacing w:val="2"/>
            <w:sz w:val="21"/>
            <w:szCs w:val="21"/>
          </w:rPr>
          <w:t xml:space="preserve">приказ </w:t>
        </w:r>
        <w:proofErr w:type="spellStart"/>
        <w:r>
          <w:rPr>
            <w:rStyle w:val="a3"/>
            <w:rFonts w:ascii="Arial" w:hAnsi="Arial" w:cs="Arial"/>
            <w:color w:val="00466E"/>
            <w:spacing w:val="2"/>
            <w:sz w:val="21"/>
            <w:szCs w:val="21"/>
          </w:rPr>
          <w:t>Минздравсоцразвития</w:t>
        </w:r>
        <w:proofErr w:type="spellEnd"/>
        <w:r>
          <w:rPr>
            <w:rStyle w:val="a3"/>
            <w:rFonts w:ascii="Arial" w:hAnsi="Arial" w:cs="Arial"/>
            <w:color w:val="00466E"/>
            <w:spacing w:val="2"/>
            <w:sz w:val="21"/>
            <w:szCs w:val="21"/>
          </w:rPr>
          <w:t xml:space="preserve"> России от 5 марта 2011 года N 169н</w:t>
        </w:r>
      </w:hyperlink>
      <w:r>
        <w:rPr>
          <w:rFonts w:ascii="Arial" w:hAnsi="Arial" w:cs="Arial"/>
          <w:color w:val="2D2D2D"/>
          <w:spacing w:val="2"/>
          <w:sz w:val="21"/>
          <w:szCs w:val="21"/>
        </w:rPr>
        <w:t>).</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r>
    </w:p>
    <w:p w:rsidR="003257F8" w:rsidRDefault="003257F8" w:rsidP="003257F8">
      <w:pPr>
        <w:pStyle w:val="2"/>
        <w:shd w:val="clear" w:color="auto" w:fill="FFFFFF"/>
        <w:spacing w:before="375" w:after="225"/>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Сроки принятия решения Фондом и сроки направления ответа страхователю</w:t>
      </w:r>
    </w:p>
    <w:p w:rsidR="003257F8" w:rsidRDefault="003257F8" w:rsidP="003257F8">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br/>
        <w:t>Сроки принятия Фондом решения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принимается (</w:t>
      </w:r>
      <w:hyperlink r:id="rId28" w:history="1">
        <w:r>
          <w:rPr>
            <w:rStyle w:val="a3"/>
            <w:rFonts w:ascii="Arial" w:hAnsi="Arial" w:cs="Arial"/>
            <w:color w:val="00466E"/>
            <w:spacing w:val="2"/>
            <w:sz w:val="21"/>
            <w:szCs w:val="21"/>
          </w:rPr>
          <w:t>п.8 Правил</w:t>
        </w:r>
      </w:hyperlink>
      <w:r>
        <w:rPr>
          <w:rFonts w:ascii="Arial" w:hAnsi="Arial" w:cs="Arial"/>
          <w:color w:val="2D2D2D"/>
          <w:spacing w:val="2"/>
          <w:sz w:val="21"/>
          <w:szCs w:val="21"/>
        </w:rPr>
        <w:t>): </w:t>
      </w:r>
    </w:p>
    <w:p w:rsidR="00362D4E" w:rsidRDefault="003257F8"/>
    <w:sectPr w:rsidR="00362D4E" w:rsidSect="00C33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C34"/>
    <w:rsid w:val="001A2A46"/>
    <w:rsid w:val="003257F8"/>
    <w:rsid w:val="007048F8"/>
    <w:rsid w:val="00C33722"/>
    <w:rsid w:val="00D949E6"/>
    <w:rsid w:val="00E2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22"/>
  </w:style>
  <w:style w:type="paragraph" w:styleId="1">
    <w:name w:val="heading 1"/>
    <w:basedOn w:val="a"/>
    <w:link w:val="10"/>
    <w:uiPriority w:val="9"/>
    <w:qFormat/>
    <w:rsid w:val="00E23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257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C3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23C34"/>
    <w:rPr>
      <w:color w:val="0000FF"/>
      <w:u w:val="single"/>
    </w:rPr>
  </w:style>
  <w:style w:type="character" w:customStyle="1" w:styleId="view">
    <w:name w:val="view"/>
    <w:basedOn w:val="a0"/>
    <w:rsid w:val="00E23C34"/>
  </w:style>
  <w:style w:type="paragraph" w:styleId="a4">
    <w:name w:val="Normal (Web)"/>
    <w:basedOn w:val="a"/>
    <w:uiPriority w:val="99"/>
    <w:semiHidden/>
    <w:unhideWhenUsed/>
    <w:rsid w:val="00E2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257F8"/>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325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257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451365">
      <w:bodyDiv w:val="1"/>
      <w:marLeft w:val="0"/>
      <w:marRight w:val="0"/>
      <w:marTop w:val="0"/>
      <w:marBottom w:val="0"/>
      <w:divBdr>
        <w:top w:val="none" w:sz="0" w:space="0" w:color="auto"/>
        <w:left w:val="none" w:sz="0" w:space="0" w:color="auto"/>
        <w:bottom w:val="none" w:sz="0" w:space="0" w:color="auto"/>
        <w:right w:val="none" w:sz="0" w:space="0" w:color="auto"/>
      </w:divBdr>
      <w:divsChild>
        <w:div w:id="576332382">
          <w:marLeft w:val="0"/>
          <w:marRight w:val="0"/>
          <w:marTop w:val="0"/>
          <w:marBottom w:val="0"/>
          <w:divBdr>
            <w:top w:val="none" w:sz="0" w:space="0" w:color="auto"/>
            <w:left w:val="none" w:sz="0" w:space="0" w:color="auto"/>
            <w:bottom w:val="none" w:sz="0" w:space="0" w:color="auto"/>
            <w:right w:val="none" w:sz="0" w:space="0" w:color="auto"/>
          </w:divBdr>
        </w:div>
        <w:div w:id="203909957">
          <w:marLeft w:val="0"/>
          <w:marRight w:val="0"/>
          <w:marTop w:val="0"/>
          <w:marBottom w:val="0"/>
          <w:divBdr>
            <w:top w:val="none" w:sz="0" w:space="0" w:color="auto"/>
            <w:left w:val="none" w:sz="0" w:space="0" w:color="auto"/>
            <w:bottom w:val="none" w:sz="0" w:space="0" w:color="auto"/>
            <w:right w:val="none" w:sz="0" w:space="0" w:color="auto"/>
          </w:divBdr>
        </w:div>
        <w:div w:id="1333869903">
          <w:marLeft w:val="0"/>
          <w:marRight w:val="0"/>
          <w:marTop w:val="0"/>
          <w:marBottom w:val="0"/>
          <w:divBdr>
            <w:top w:val="none" w:sz="0" w:space="0" w:color="auto"/>
            <w:left w:val="none" w:sz="0" w:space="0" w:color="auto"/>
            <w:bottom w:val="none" w:sz="0" w:space="0" w:color="auto"/>
            <w:right w:val="none" w:sz="0" w:space="0" w:color="auto"/>
          </w:divBdr>
        </w:div>
      </w:divsChild>
    </w:div>
    <w:div w:id="1237671976">
      <w:bodyDiv w:val="1"/>
      <w:marLeft w:val="0"/>
      <w:marRight w:val="0"/>
      <w:marTop w:val="0"/>
      <w:marBottom w:val="0"/>
      <w:divBdr>
        <w:top w:val="none" w:sz="0" w:space="0" w:color="auto"/>
        <w:left w:val="none" w:sz="0" w:space="0" w:color="auto"/>
        <w:bottom w:val="none" w:sz="0" w:space="0" w:color="auto"/>
        <w:right w:val="none" w:sz="0" w:space="0" w:color="auto"/>
      </w:divBdr>
      <w:divsChild>
        <w:div w:id="2103062019">
          <w:marLeft w:val="0"/>
          <w:marRight w:val="0"/>
          <w:marTop w:val="0"/>
          <w:marBottom w:val="0"/>
          <w:divBdr>
            <w:top w:val="none" w:sz="0" w:space="0" w:color="auto"/>
            <w:left w:val="none" w:sz="0" w:space="0" w:color="auto"/>
            <w:bottom w:val="none" w:sz="0" w:space="0" w:color="auto"/>
            <w:right w:val="none" w:sz="0" w:space="0" w:color="auto"/>
          </w:divBdr>
          <w:divsChild>
            <w:div w:id="902184260">
              <w:marLeft w:val="0"/>
              <w:marRight w:val="0"/>
              <w:marTop w:val="0"/>
              <w:marBottom w:val="0"/>
              <w:divBdr>
                <w:top w:val="none" w:sz="0" w:space="0" w:color="auto"/>
                <w:left w:val="none" w:sz="0" w:space="0" w:color="auto"/>
                <w:bottom w:val="none" w:sz="0" w:space="0" w:color="auto"/>
                <w:right w:val="none" w:sz="0" w:space="0" w:color="auto"/>
              </w:divBdr>
            </w:div>
            <w:div w:id="207542356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7260" TargetMode="External"/><Relationship Id="rId13" Type="http://schemas.openxmlformats.org/officeDocument/2006/relationships/hyperlink" Target="http://docs.cntd.ru/picture/get?id=P00070000&amp;doc_id=677026401" TargetMode="External"/><Relationship Id="rId18" Type="http://schemas.openxmlformats.org/officeDocument/2006/relationships/hyperlink" Target="http://docs.cntd.ru/document/901850788" TargetMode="External"/><Relationship Id="rId26" Type="http://schemas.openxmlformats.org/officeDocument/2006/relationships/hyperlink" Target="http://docs.cntd.ru/document/902153699" TargetMode="External"/><Relationship Id="rId3" Type="http://schemas.openxmlformats.org/officeDocument/2006/relationships/webSettings" Target="webSettings.xml"/><Relationship Id="rId21" Type="http://schemas.openxmlformats.org/officeDocument/2006/relationships/hyperlink" Target="http://docs.cntd.ru/document/901807664" TargetMode="External"/><Relationship Id="rId7" Type="http://schemas.openxmlformats.org/officeDocument/2006/relationships/hyperlink" Target="http://docs.cntd.ru/document/902387260" TargetMode="External"/><Relationship Id="rId12" Type="http://schemas.openxmlformats.org/officeDocument/2006/relationships/hyperlink" Target="http://docs.cntd.ru/document/902387260" TargetMode="External"/><Relationship Id="rId17" Type="http://schemas.openxmlformats.org/officeDocument/2006/relationships/hyperlink" Target="http://docs.cntd.ru/document/902387260" TargetMode="External"/><Relationship Id="rId25" Type="http://schemas.openxmlformats.org/officeDocument/2006/relationships/hyperlink" Target="http://docs.cntd.ru/document/902153699" TargetMode="External"/><Relationship Id="rId2" Type="http://schemas.openxmlformats.org/officeDocument/2006/relationships/settings" Target="settings.xml"/><Relationship Id="rId16" Type="http://schemas.openxmlformats.org/officeDocument/2006/relationships/hyperlink" Target="http://docs.cntd.ru/document/902387260" TargetMode="External"/><Relationship Id="rId20" Type="http://schemas.openxmlformats.org/officeDocument/2006/relationships/hyperlink" Target="http://docs.cntd.ru/document/90171353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387260" TargetMode="External"/><Relationship Id="rId11" Type="http://schemas.openxmlformats.org/officeDocument/2006/relationships/hyperlink" Target="http://docs.cntd.ru/document/420219855" TargetMode="External"/><Relationship Id="rId24" Type="http://schemas.openxmlformats.org/officeDocument/2006/relationships/hyperlink" Target="http://docs.cntd.ru/document/902153699" TargetMode="External"/><Relationship Id="rId5" Type="http://schemas.openxmlformats.org/officeDocument/2006/relationships/hyperlink" Target="http://docs.cntd.ru/document/902387260" TargetMode="External"/><Relationship Id="rId15" Type="http://schemas.openxmlformats.org/officeDocument/2006/relationships/image" Target="media/image2.jpeg"/><Relationship Id="rId23" Type="http://schemas.openxmlformats.org/officeDocument/2006/relationships/hyperlink" Target="http://docs.cntd.ru/document/470358694" TargetMode="External"/><Relationship Id="rId28" Type="http://schemas.openxmlformats.org/officeDocument/2006/relationships/hyperlink" Target="http://docs.cntd.ru/document/902387260" TargetMode="External"/><Relationship Id="rId10" Type="http://schemas.openxmlformats.org/officeDocument/2006/relationships/hyperlink" Target="http://docs.cntd.ru/document/420219855" TargetMode="External"/><Relationship Id="rId19" Type="http://schemas.openxmlformats.org/officeDocument/2006/relationships/image" Target="media/image3.jpeg"/><Relationship Id="rId4" Type="http://schemas.openxmlformats.org/officeDocument/2006/relationships/hyperlink" Target="https://ohranatruda.ru/upload/medialibrary/589/prikaz-ot-10.12.2012-g.-n-58-pravila-finobespecheniya-predupredit-mer-po-sokrashch-proizv-travmatizma-i-profzabolevaniy-rabotnikov-i-sanatorno_kurortnogo-lecheniya-rabotnikov_-zanyatykh-na-rabotakh-s-vopf.pdf" TargetMode="External"/><Relationship Id="rId9" Type="http://schemas.openxmlformats.org/officeDocument/2006/relationships/hyperlink" Target="http://docs.cntd.ru/document/550858121" TargetMode="External"/><Relationship Id="rId14" Type="http://schemas.openxmlformats.org/officeDocument/2006/relationships/image" Target="media/image1.jpeg"/><Relationship Id="rId22" Type="http://schemas.openxmlformats.org/officeDocument/2006/relationships/hyperlink" Target="http://docs.cntd.ru/document/901713539" TargetMode="External"/><Relationship Id="rId27" Type="http://schemas.openxmlformats.org/officeDocument/2006/relationships/hyperlink" Target="http://docs.cntd.ru/document/90226719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Kara-oolCHS</dc:creator>
  <cp:keywords/>
  <dc:description/>
  <cp:lastModifiedBy>KaraoolCHS</cp:lastModifiedBy>
  <cp:revision>3</cp:revision>
  <dcterms:created xsi:type="dcterms:W3CDTF">2017-09-08T03:28:00Z</dcterms:created>
  <dcterms:modified xsi:type="dcterms:W3CDTF">2018-12-10T05:08:00Z</dcterms:modified>
</cp:coreProperties>
</file>